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DE83" w14:textId="7DEB4A16" w:rsidR="003E2BCE" w:rsidRDefault="00213C9F" w:rsidP="0098376A">
      <w:pPr>
        <w:jc w:val="right"/>
        <w:rPr>
          <w:b/>
          <w:bCs/>
          <w:lang w:val="en-US"/>
        </w:rPr>
      </w:pPr>
      <w:r w:rsidRPr="004033B1">
        <w:rPr>
          <w:bCs/>
          <w:i/>
          <w:iCs/>
          <w:lang w:val="en-US"/>
        </w:rPr>
        <w:t>Violeta Beširević</w:t>
      </w:r>
      <w:r w:rsidRPr="004033B1">
        <w:rPr>
          <w:rStyle w:val="FootnoteReference"/>
          <w:bCs/>
          <w:i/>
          <w:iCs/>
          <w:lang w:val="en-US"/>
        </w:rPr>
        <w:footnoteReference w:customMarkFollows="1" w:id="1"/>
        <w:sym w:font="Symbol" w:char="F02A"/>
      </w:r>
      <w:r>
        <w:rPr>
          <w:bCs/>
          <w:i/>
          <w:iCs/>
          <w:lang w:val="en-US"/>
        </w:rPr>
        <w:t xml:space="preserve"> </w:t>
      </w:r>
    </w:p>
    <w:p w14:paraId="1225B2A4" w14:textId="77777777" w:rsidR="00213C9F" w:rsidRDefault="00213C9F" w:rsidP="00C83167">
      <w:pPr>
        <w:jc w:val="center"/>
        <w:rPr>
          <w:b/>
          <w:bCs/>
          <w:lang w:val="en-US"/>
        </w:rPr>
      </w:pPr>
    </w:p>
    <w:p w14:paraId="71FB48BB" w14:textId="67B7D2FA" w:rsidR="00A9574D" w:rsidRPr="004033B1" w:rsidRDefault="00A9574D" w:rsidP="00C83167">
      <w:pPr>
        <w:jc w:val="center"/>
        <w:rPr>
          <w:b/>
          <w:bCs/>
          <w:lang w:val="en-US"/>
        </w:rPr>
      </w:pPr>
      <w:r w:rsidRPr="004033B1">
        <w:rPr>
          <w:b/>
          <w:bCs/>
          <w:lang w:val="en-US"/>
        </w:rPr>
        <w:t>MILITANT DEMOCRACY AND POPULISM:</w:t>
      </w:r>
    </w:p>
    <w:p w14:paraId="3D8A044C" w14:textId="79541B5D" w:rsidR="00804A95" w:rsidRPr="004033B1" w:rsidRDefault="00A9574D" w:rsidP="00A9574D">
      <w:pPr>
        <w:jc w:val="center"/>
        <w:rPr>
          <w:b/>
          <w:bCs/>
          <w:lang w:val="en-US"/>
        </w:rPr>
      </w:pPr>
      <w:r w:rsidRPr="004033B1">
        <w:rPr>
          <w:b/>
          <w:bCs/>
          <w:lang w:val="en-US"/>
        </w:rPr>
        <w:t xml:space="preserve">A </w:t>
      </w:r>
      <w:r w:rsidR="00C77DF8" w:rsidRPr="004033B1">
        <w:rPr>
          <w:b/>
          <w:bCs/>
          <w:lang w:val="en-US"/>
        </w:rPr>
        <w:t>RE</w:t>
      </w:r>
      <w:r w:rsidR="00C77DF8">
        <w:rPr>
          <w:b/>
          <w:bCs/>
          <w:lang w:val="en-US"/>
        </w:rPr>
        <w:t>SPON</w:t>
      </w:r>
      <w:r w:rsidR="002102E1">
        <w:rPr>
          <w:b/>
          <w:bCs/>
          <w:lang w:val="en-US"/>
        </w:rPr>
        <w:t>SE</w:t>
      </w:r>
      <w:r w:rsidRPr="004033B1">
        <w:rPr>
          <w:b/>
          <w:bCs/>
          <w:lang w:val="en-US"/>
        </w:rPr>
        <w:t xml:space="preserve"> TO </w:t>
      </w:r>
      <w:r w:rsidR="00D95CC4" w:rsidRPr="004033B1">
        <w:rPr>
          <w:b/>
          <w:bCs/>
          <w:lang w:val="en-US"/>
        </w:rPr>
        <w:t xml:space="preserve">TOM </w:t>
      </w:r>
      <w:r w:rsidRPr="004033B1">
        <w:rPr>
          <w:b/>
          <w:bCs/>
          <w:lang w:val="en-US"/>
        </w:rPr>
        <w:t>GINSB</w:t>
      </w:r>
      <w:r w:rsidR="00D624AD" w:rsidRPr="004033B1">
        <w:rPr>
          <w:b/>
          <w:bCs/>
          <w:lang w:val="en-US"/>
        </w:rPr>
        <w:t>U</w:t>
      </w:r>
      <w:r w:rsidRPr="004033B1">
        <w:rPr>
          <w:b/>
          <w:bCs/>
          <w:lang w:val="en-US"/>
        </w:rPr>
        <w:t xml:space="preserve">RG AND </w:t>
      </w:r>
      <w:r w:rsidR="00D95CC4" w:rsidRPr="004033B1">
        <w:rPr>
          <w:b/>
          <w:bCs/>
          <w:lang w:val="en-US"/>
        </w:rPr>
        <w:t xml:space="preserve">AZIZ </w:t>
      </w:r>
      <w:r w:rsidRPr="004033B1">
        <w:rPr>
          <w:b/>
          <w:bCs/>
          <w:lang w:val="en-US"/>
        </w:rPr>
        <w:t>HUQ</w:t>
      </w:r>
    </w:p>
    <w:p w14:paraId="3F31501A" w14:textId="77777777" w:rsidR="00804A95" w:rsidRPr="004033B1" w:rsidRDefault="00804A95">
      <w:pPr>
        <w:rPr>
          <w:lang w:val="en-US"/>
        </w:rPr>
      </w:pPr>
    </w:p>
    <w:p w14:paraId="175F3965" w14:textId="77777777" w:rsidR="00804A95" w:rsidRPr="006069BB" w:rsidRDefault="00804A95">
      <w:pPr>
        <w:rPr>
          <w:lang w:val="en-US"/>
        </w:rPr>
      </w:pPr>
    </w:p>
    <w:p w14:paraId="6EA08618" w14:textId="77777777" w:rsidR="00213C9F" w:rsidRDefault="007F13EC" w:rsidP="00D83DDF">
      <w:pPr>
        <w:jc w:val="both"/>
        <w:rPr>
          <w:lang w:val="en-US"/>
        </w:rPr>
      </w:pPr>
      <w:r w:rsidRPr="006069BB">
        <w:rPr>
          <w:rStyle w:val="Emphasis"/>
          <w:color w:val="0E101A"/>
          <w:lang w:val="en-US"/>
        </w:rPr>
        <w:t xml:space="preserve">This short essay has </w:t>
      </w:r>
      <w:r w:rsidR="00B2309B">
        <w:rPr>
          <w:rStyle w:val="Emphasis"/>
          <w:color w:val="0E101A"/>
          <w:lang w:val="en-US"/>
        </w:rPr>
        <w:t xml:space="preserve">the following </w:t>
      </w:r>
      <w:r w:rsidRPr="006069BB">
        <w:rPr>
          <w:rStyle w:val="Emphasis"/>
          <w:color w:val="0E101A"/>
          <w:lang w:val="en-US"/>
        </w:rPr>
        <w:t xml:space="preserve">aims: first, it is written to honor professor Josip </w:t>
      </w:r>
      <w:proofErr w:type="spellStart"/>
      <w:r w:rsidRPr="006069BB">
        <w:rPr>
          <w:rStyle w:val="Emphasis"/>
          <w:color w:val="0E101A"/>
          <w:lang w:val="en-US"/>
        </w:rPr>
        <w:t>Kregar</w:t>
      </w:r>
      <w:proofErr w:type="spellEnd"/>
      <w:r w:rsidRPr="006069BB">
        <w:rPr>
          <w:rStyle w:val="Emphasis"/>
          <w:color w:val="0E101A"/>
          <w:lang w:val="en-US"/>
        </w:rPr>
        <w:t xml:space="preserve">, who was a democracy promoter </w:t>
      </w:r>
      <w:r w:rsidR="002102E1" w:rsidRPr="002102E1">
        <w:rPr>
          <w:rStyle w:val="Emphasis"/>
          <w:color w:val="0E101A"/>
          <w:lang w:val="en-US"/>
        </w:rPr>
        <w:t>all his life</w:t>
      </w:r>
      <w:r w:rsidR="002102E1">
        <w:rPr>
          <w:rStyle w:val="Emphasis"/>
          <w:color w:val="0E101A"/>
          <w:lang w:val="en-US"/>
        </w:rPr>
        <w:t xml:space="preserve">, </w:t>
      </w:r>
      <w:r w:rsidRPr="006069BB">
        <w:rPr>
          <w:rStyle w:val="Emphasis"/>
          <w:color w:val="0E101A"/>
          <w:lang w:val="en-US"/>
        </w:rPr>
        <w:t xml:space="preserve">either within the former Yugoslavia, or today’s Croatia, </w:t>
      </w:r>
      <w:r w:rsidR="002102E1">
        <w:rPr>
          <w:rStyle w:val="Emphasis"/>
          <w:color w:val="0E101A"/>
          <w:lang w:val="en-US"/>
        </w:rPr>
        <w:t xml:space="preserve">which was </w:t>
      </w:r>
      <w:r w:rsidRPr="006069BB">
        <w:rPr>
          <w:rStyle w:val="Emphasis"/>
          <w:color w:val="0E101A"/>
          <w:lang w:val="en-US"/>
        </w:rPr>
        <w:t>a rather challenging task he never gave up; second, to respond to Tom Ginsburg and Aziz Huq, who in their recent</w:t>
      </w:r>
      <w:r w:rsidR="002102E1">
        <w:rPr>
          <w:rStyle w:val="Emphasis"/>
          <w:color w:val="0E101A"/>
          <w:lang w:val="en-US"/>
        </w:rPr>
        <w:t>ly published</w:t>
      </w:r>
      <w:r w:rsidRPr="006069BB">
        <w:rPr>
          <w:rStyle w:val="Emphasis"/>
          <w:color w:val="0E101A"/>
          <w:lang w:val="en-US"/>
        </w:rPr>
        <w:t xml:space="preserve"> book How to Save a Constitutional Democracy, labeled militant democracy a dangerous and inadequate tool for confronting the present phenomena of democratic backsliding. In this </w:t>
      </w:r>
      <w:r w:rsidR="00B2309B">
        <w:rPr>
          <w:rStyle w:val="Emphasis"/>
          <w:color w:val="0E101A"/>
          <w:lang w:val="en-US"/>
        </w:rPr>
        <w:t>essay</w:t>
      </w:r>
      <w:r w:rsidRPr="006069BB">
        <w:rPr>
          <w:rStyle w:val="Emphasis"/>
          <w:color w:val="0E101A"/>
          <w:lang w:val="en-US"/>
        </w:rPr>
        <w:t xml:space="preserve">, I will first argue that the authors’ skepticism towards militant democracy springs from a wrong association of militant democracy with </w:t>
      </w:r>
      <w:r w:rsidR="006069BB">
        <w:rPr>
          <w:rStyle w:val="Emphasis"/>
          <w:color w:val="0E101A"/>
          <w:lang w:val="en-US"/>
        </w:rPr>
        <w:t xml:space="preserve">other </w:t>
      </w:r>
      <w:r w:rsidRPr="006069BB">
        <w:rPr>
          <w:rStyle w:val="Emphasis"/>
          <w:color w:val="0E101A"/>
          <w:lang w:val="en-US"/>
        </w:rPr>
        <w:t xml:space="preserve">concepts that also do not </w:t>
      </w:r>
      <w:r w:rsidR="006069BB" w:rsidRPr="006069BB">
        <w:rPr>
          <w:rStyle w:val="Emphasis"/>
          <w:color w:val="0E101A"/>
          <w:lang w:val="en-US"/>
        </w:rPr>
        <w:t xml:space="preserve">treat </w:t>
      </w:r>
      <w:r w:rsidRPr="006069BB">
        <w:rPr>
          <w:rStyle w:val="Emphasis"/>
          <w:color w:val="0E101A"/>
          <w:lang w:val="en-US"/>
        </w:rPr>
        <w:t xml:space="preserve">individual liberty </w:t>
      </w:r>
      <w:r w:rsidR="006069BB">
        <w:rPr>
          <w:rStyle w:val="Emphasis"/>
          <w:color w:val="0E101A"/>
          <w:lang w:val="en-US"/>
        </w:rPr>
        <w:t xml:space="preserve">as </w:t>
      </w:r>
      <w:r w:rsidR="002102E1">
        <w:rPr>
          <w:rStyle w:val="Emphasis"/>
          <w:color w:val="0E101A"/>
          <w:lang w:val="en-US"/>
        </w:rPr>
        <w:t xml:space="preserve">an </w:t>
      </w:r>
      <w:r w:rsidR="006069BB">
        <w:rPr>
          <w:rStyle w:val="Emphasis"/>
          <w:color w:val="0E101A"/>
          <w:lang w:val="en-US"/>
        </w:rPr>
        <w:t xml:space="preserve">absolute value </w:t>
      </w:r>
      <w:r w:rsidRPr="006069BB">
        <w:rPr>
          <w:rStyle w:val="Emphasis"/>
          <w:color w:val="0E101A"/>
          <w:lang w:val="en-US"/>
        </w:rPr>
        <w:t>and</w:t>
      </w:r>
      <w:r w:rsidR="002102E1">
        <w:rPr>
          <w:rStyle w:val="Emphasis"/>
          <w:color w:val="0E101A"/>
          <w:lang w:val="en-US"/>
        </w:rPr>
        <w:t>,</w:t>
      </w:r>
      <w:r w:rsidRPr="006069BB">
        <w:rPr>
          <w:rStyle w:val="Emphasis"/>
          <w:color w:val="0E101A"/>
          <w:lang w:val="en-US"/>
        </w:rPr>
        <w:t xml:space="preserve"> then</w:t>
      </w:r>
      <w:r w:rsidR="002102E1">
        <w:rPr>
          <w:rStyle w:val="Emphasis"/>
          <w:color w:val="0E101A"/>
          <w:lang w:val="en-US"/>
        </w:rPr>
        <w:t>,</w:t>
      </w:r>
      <w:r w:rsidRPr="006069BB">
        <w:rPr>
          <w:rStyle w:val="Emphasis"/>
          <w:color w:val="0E101A"/>
          <w:lang w:val="en-US"/>
        </w:rPr>
        <w:t xml:space="preserve"> sketch an argument why militant democracy could help confront democratic backsliding.  </w:t>
      </w:r>
    </w:p>
    <w:p w14:paraId="3154A864" w14:textId="757D9A97" w:rsidR="007F59F3" w:rsidRPr="00213C9F" w:rsidRDefault="007F59F3" w:rsidP="00D83DDF">
      <w:pPr>
        <w:jc w:val="both"/>
        <w:rPr>
          <w:lang w:val="en-US"/>
        </w:rPr>
      </w:pPr>
      <w:r w:rsidRPr="00814B39">
        <w:rPr>
          <w:i/>
          <w:iCs/>
          <w:lang w:val="en-US"/>
        </w:rPr>
        <w:t xml:space="preserve">Key words: militant democracy, populism, democratic backsliding, militant constitutionalism, extremism </w:t>
      </w:r>
    </w:p>
    <w:p w14:paraId="6143CBDE" w14:textId="77777777" w:rsidR="00193E2F" w:rsidRPr="004033B1" w:rsidRDefault="00193E2F" w:rsidP="00193E2F">
      <w:pPr>
        <w:jc w:val="both"/>
        <w:rPr>
          <w:lang w:val="en-US"/>
        </w:rPr>
      </w:pPr>
    </w:p>
    <w:p w14:paraId="333A1869" w14:textId="67D757BD" w:rsidR="00193E2F" w:rsidRPr="004033B1" w:rsidRDefault="00A57D25" w:rsidP="00193E2F">
      <w:pPr>
        <w:jc w:val="both"/>
        <w:rPr>
          <w:b/>
          <w:bCs/>
          <w:lang w:val="en-US"/>
        </w:rPr>
      </w:pPr>
      <w:r>
        <w:rPr>
          <w:b/>
          <w:bCs/>
          <w:lang w:val="en-US"/>
        </w:rPr>
        <w:t>1.</w:t>
      </w:r>
      <w:r w:rsidR="00193E2F" w:rsidRPr="004033B1">
        <w:rPr>
          <w:b/>
          <w:bCs/>
          <w:lang w:val="en-US"/>
        </w:rPr>
        <w:t xml:space="preserve"> </w:t>
      </w:r>
      <w:r w:rsidR="005348BB" w:rsidRPr="004033B1">
        <w:rPr>
          <w:b/>
          <w:bCs/>
          <w:lang w:val="en-US"/>
        </w:rPr>
        <w:tab/>
      </w:r>
      <w:r w:rsidR="00193E2F" w:rsidRPr="004033B1">
        <w:rPr>
          <w:b/>
          <w:bCs/>
          <w:lang w:val="en-US"/>
        </w:rPr>
        <w:t>INTRODUCTION</w:t>
      </w:r>
    </w:p>
    <w:p w14:paraId="7C9F3DDA" w14:textId="0414C14B" w:rsidR="00193E2F" w:rsidRPr="004033B1" w:rsidRDefault="00193E2F" w:rsidP="00193E2F">
      <w:pPr>
        <w:jc w:val="both"/>
        <w:rPr>
          <w:b/>
          <w:bCs/>
          <w:lang w:val="en-US"/>
        </w:rPr>
      </w:pPr>
    </w:p>
    <w:p w14:paraId="52AC1F82" w14:textId="3C1B4762" w:rsidR="000007F6" w:rsidRPr="004033B1" w:rsidRDefault="00D844E3" w:rsidP="000007F6">
      <w:pPr>
        <w:autoSpaceDE w:val="0"/>
        <w:autoSpaceDN w:val="0"/>
        <w:adjustRightInd w:val="0"/>
        <w:spacing w:line="360" w:lineRule="auto"/>
        <w:ind w:firstLine="720"/>
        <w:jc w:val="both"/>
        <w:rPr>
          <w:rFonts w:eastAsiaTheme="minorHAnsi"/>
          <w:lang w:val="en-US" w:eastAsia="en-US"/>
        </w:rPr>
      </w:pPr>
      <w:r w:rsidRPr="004033B1">
        <w:rPr>
          <w:rFonts w:eastAsiaTheme="minorHAnsi"/>
          <w:lang w:val="en-US" w:eastAsia="en-US"/>
        </w:rPr>
        <w:t>Both militant democracy and populism are controversial concepts. The first because it is not neutral to all voices in the political game, does not support free expression and participation for all, and consequently, it does not accommodate all citizens’ voices in</w:t>
      </w:r>
      <w:r w:rsidR="00213C9F">
        <w:rPr>
          <w:rFonts w:eastAsiaTheme="minorHAnsi"/>
          <w:lang w:val="en-US" w:eastAsia="en-US"/>
        </w:rPr>
        <w:t xml:space="preserve"> </w:t>
      </w:r>
      <w:r w:rsidRPr="004033B1">
        <w:rPr>
          <w:rFonts w:eastAsiaTheme="minorHAnsi"/>
          <w:lang w:val="en-US" w:eastAsia="en-US"/>
        </w:rPr>
        <w:t>representative institutions.</w:t>
      </w:r>
      <w:r w:rsidR="003B6CC9" w:rsidRPr="004033B1">
        <w:rPr>
          <w:rStyle w:val="FootnoteReference"/>
          <w:rFonts w:eastAsiaTheme="minorHAnsi"/>
          <w:lang w:val="en-US" w:eastAsia="en-US"/>
        </w:rPr>
        <w:footnoteReference w:id="2"/>
      </w:r>
      <w:r w:rsidRPr="004033B1">
        <w:rPr>
          <w:rFonts w:eastAsiaTheme="minorHAnsi"/>
          <w:lang w:val="en-US" w:eastAsia="en-US"/>
        </w:rPr>
        <w:t xml:space="preserve"> The second, because questions like what is populism</w:t>
      </w:r>
      <w:r w:rsidR="006066E5" w:rsidRPr="004033B1">
        <w:rPr>
          <w:rFonts w:eastAsiaTheme="minorHAnsi"/>
          <w:lang w:val="en-US" w:eastAsia="en-US"/>
        </w:rPr>
        <w:t xml:space="preserve">, </w:t>
      </w:r>
      <w:r w:rsidRPr="004033B1">
        <w:rPr>
          <w:rFonts w:eastAsiaTheme="minorHAnsi"/>
          <w:lang w:val="en-US" w:eastAsia="en-US"/>
        </w:rPr>
        <w:t>whether populism actually exists, and how to respond to populist politics still beg for ‘true answers’.</w:t>
      </w:r>
      <w:r w:rsidR="009E1534" w:rsidRPr="004033B1">
        <w:rPr>
          <w:rStyle w:val="FootnoteReference"/>
          <w:rFonts w:eastAsiaTheme="minorHAnsi"/>
          <w:lang w:val="en-US" w:eastAsia="en-US"/>
        </w:rPr>
        <w:footnoteReference w:id="3"/>
      </w:r>
    </w:p>
    <w:p w14:paraId="430DACA5" w14:textId="3B971E1C" w:rsidR="000007F6" w:rsidRPr="004033B1" w:rsidRDefault="00D83DDF" w:rsidP="000007F6">
      <w:pPr>
        <w:autoSpaceDE w:val="0"/>
        <w:autoSpaceDN w:val="0"/>
        <w:adjustRightInd w:val="0"/>
        <w:spacing w:line="360" w:lineRule="auto"/>
        <w:ind w:firstLine="720"/>
        <w:jc w:val="both"/>
        <w:rPr>
          <w:rFonts w:eastAsiaTheme="minorHAnsi"/>
          <w:lang w:val="en-US" w:eastAsia="en-US"/>
        </w:rPr>
      </w:pPr>
      <w:r w:rsidRPr="004033B1">
        <w:rPr>
          <w:rFonts w:eastAsiaTheme="minorHAnsi"/>
          <w:lang w:val="en-US" w:eastAsia="en-US"/>
        </w:rPr>
        <w:lastRenderedPageBreak/>
        <w:t>Nonetheless, although controversial and hardly new phenomen</w:t>
      </w:r>
      <w:r w:rsidR="006069BB">
        <w:rPr>
          <w:rFonts w:eastAsiaTheme="minorHAnsi"/>
          <w:lang w:val="en-US" w:eastAsia="en-US"/>
        </w:rPr>
        <w:t>a</w:t>
      </w:r>
      <w:r w:rsidRPr="004033B1">
        <w:rPr>
          <w:rFonts w:eastAsiaTheme="minorHAnsi"/>
          <w:lang w:val="en-US" w:eastAsia="en-US"/>
        </w:rPr>
        <w:t xml:space="preserve">, in recent times, militant democracy and populism have been given </w:t>
      </w:r>
      <w:r w:rsidR="00CF038F" w:rsidRPr="004033B1">
        <w:rPr>
          <w:rFonts w:eastAsiaTheme="minorHAnsi"/>
          <w:lang w:val="en-US" w:eastAsia="en-US"/>
        </w:rPr>
        <w:t xml:space="preserve">certain </w:t>
      </w:r>
      <w:r w:rsidRPr="004033B1">
        <w:rPr>
          <w:rFonts w:eastAsiaTheme="minorHAnsi"/>
          <w:lang w:val="en-US" w:eastAsia="en-US"/>
        </w:rPr>
        <w:t>conceptual and normative assumptions which denote their current definitions.</w:t>
      </w:r>
      <w:r w:rsidR="003E1F8F" w:rsidRPr="004033B1">
        <w:rPr>
          <w:rFonts w:eastAsiaTheme="minorHAnsi"/>
          <w:lang w:val="en-US" w:eastAsia="en-US"/>
        </w:rPr>
        <w:t xml:space="preserve"> </w:t>
      </w:r>
      <w:r w:rsidR="00B00F1F" w:rsidRPr="004033B1">
        <w:rPr>
          <w:rFonts w:eastAsiaTheme="minorHAnsi"/>
          <w:lang w:val="en-US" w:eastAsia="en-US"/>
        </w:rPr>
        <w:t>Thus, t</w:t>
      </w:r>
      <w:r w:rsidR="00454F94" w:rsidRPr="004033B1">
        <w:rPr>
          <w:rFonts w:eastAsiaTheme="minorHAnsi"/>
          <w:lang w:val="en-US" w:eastAsia="en-US"/>
        </w:rPr>
        <w:t xml:space="preserve">here is a consensus that militant democracy, or sometimes called defensive or fitting democracy, </w:t>
      </w:r>
      <w:r w:rsidR="00FF7E59">
        <w:rPr>
          <w:rFonts w:eastAsiaTheme="minorHAnsi"/>
          <w:lang w:val="en-US" w:eastAsia="en-US"/>
        </w:rPr>
        <w:t xml:space="preserve">refers </w:t>
      </w:r>
      <w:r w:rsidR="003E1F8F" w:rsidRPr="004033B1">
        <w:rPr>
          <w:rFonts w:eastAsiaTheme="minorHAnsi"/>
          <w:lang w:val="en-US" w:eastAsia="en-US"/>
        </w:rPr>
        <w:t xml:space="preserve">“to the idea of a democratic regime which is willing to adopt pre-emptive, </w:t>
      </w:r>
      <w:r w:rsidR="003E1F8F" w:rsidRPr="004033B1">
        <w:rPr>
          <w:rFonts w:eastAsiaTheme="minorHAnsi"/>
          <w:i/>
          <w:iCs/>
          <w:lang w:val="en-US" w:eastAsia="en-US"/>
        </w:rPr>
        <w:t>prima facie</w:t>
      </w:r>
      <w:r w:rsidR="003E1F8F" w:rsidRPr="004033B1">
        <w:rPr>
          <w:rFonts w:eastAsiaTheme="minorHAnsi"/>
          <w:lang w:val="en-US" w:eastAsia="en-US"/>
        </w:rPr>
        <w:t xml:space="preserve"> illiberal measures  to prevent those aiming at subverting democracy with democratic means from destroying democratic regimes.”</w:t>
      </w:r>
      <w:r w:rsidR="00FF7E59">
        <w:rPr>
          <w:rStyle w:val="FootnoteReference"/>
          <w:rFonts w:eastAsiaTheme="minorHAnsi"/>
          <w:lang w:val="en-US" w:eastAsia="en-US"/>
        </w:rPr>
        <w:footnoteReference w:id="4"/>
      </w:r>
      <w:r w:rsidR="00454F94" w:rsidRPr="004033B1">
        <w:rPr>
          <w:rFonts w:eastAsiaTheme="minorHAnsi"/>
          <w:lang w:val="en-US" w:eastAsia="en-US"/>
        </w:rPr>
        <w:t xml:space="preserve"> </w:t>
      </w:r>
      <w:r w:rsidR="000007F6" w:rsidRPr="004033B1">
        <w:rPr>
          <w:rFonts w:eastAsiaTheme="minorHAnsi"/>
          <w:lang w:val="en-US" w:eastAsia="en-US"/>
        </w:rPr>
        <w:t xml:space="preserve">The </w:t>
      </w:r>
      <w:r w:rsidR="00E470FA" w:rsidRPr="004033B1">
        <w:rPr>
          <w:rFonts w:eastAsiaTheme="minorHAnsi"/>
          <w:lang w:val="en-US" w:eastAsia="en-US"/>
        </w:rPr>
        <w:t xml:space="preserve">idea of </w:t>
      </w:r>
      <w:r w:rsidR="000007F6" w:rsidRPr="004033B1">
        <w:rPr>
          <w:rFonts w:eastAsiaTheme="minorHAnsi"/>
          <w:lang w:val="en-US" w:eastAsia="en-US"/>
        </w:rPr>
        <w:t xml:space="preserve">militant democracy emerges in the fight against radical movements and their activities: </w:t>
      </w:r>
      <w:r w:rsidR="000E609B">
        <w:rPr>
          <w:rFonts w:eastAsiaTheme="minorHAnsi"/>
          <w:lang w:val="en-US" w:eastAsia="en-US"/>
        </w:rPr>
        <w:t>related to</w:t>
      </w:r>
      <w:r w:rsidR="000E609B" w:rsidRPr="004033B1">
        <w:rPr>
          <w:rFonts w:eastAsiaTheme="minorHAnsi"/>
          <w:lang w:val="en-US" w:eastAsia="en-US"/>
        </w:rPr>
        <w:t xml:space="preserve"> </w:t>
      </w:r>
      <w:r w:rsidR="00CF038F" w:rsidRPr="004033B1">
        <w:rPr>
          <w:rFonts w:eastAsiaTheme="minorHAnsi"/>
          <w:lang w:val="en-US" w:eastAsia="en-US"/>
        </w:rPr>
        <w:t xml:space="preserve">this </w:t>
      </w:r>
      <w:r w:rsidR="00E470FA" w:rsidRPr="004033B1">
        <w:rPr>
          <w:rFonts w:eastAsiaTheme="minorHAnsi"/>
          <w:lang w:val="en-US" w:eastAsia="en-US"/>
        </w:rPr>
        <w:t>model</w:t>
      </w:r>
      <w:r w:rsidR="00454F94" w:rsidRPr="004033B1">
        <w:rPr>
          <w:rFonts w:eastAsiaTheme="minorHAnsi"/>
          <w:lang w:val="en-US" w:eastAsia="en-US"/>
        </w:rPr>
        <w:t xml:space="preserve">, </w:t>
      </w:r>
      <w:r w:rsidR="00E76FDD" w:rsidRPr="004033B1">
        <w:rPr>
          <w:rFonts w:eastAsiaTheme="minorHAnsi"/>
          <w:lang w:val="en-US" w:eastAsia="en-US"/>
        </w:rPr>
        <w:t>extremists are perceived as threat to democracy</w:t>
      </w:r>
      <w:r w:rsidR="00454F94" w:rsidRPr="004033B1">
        <w:rPr>
          <w:rFonts w:eastAsiaTheme="minorHAnsi"/>
          <w:lang w:val="en-US" w:eastAsia="en-US"/>
        </w:rPr>
        <w:t xml:space="preserve"> and therefore </w:t>
      </w:r>
      <w:r w:rsidR="000007F6" w:rsidRPr="004033B1">
        <w:rPr>
          <w:rFonts w:eastAsiaTheme="minorHAnsi"/>
          <w:lang w:val="en-US" w:eastAsia="en-US"/>
        </w:rPr>
        <w:t>should be</w:t>
      </w:r>
      <w:r w:rsidR="00454F94" w:rsidRPr="004033B1">
        <w:rPr>
          <w:rFonts w:eastAsiaTheme="minorHAnsi"/>
          <w:lang w:val="en-US" w:eastAsia="en-US"/>
        </w:rPr>
        <w:t xml:space="preserve"> excluded from political arena.</w:t>
      </w:r>
      <w:r w:rsidR="007B4BE2">
        <w:rPr>
          <w:rStyle w:val="FootnoteReference"/>
          <w:rFonts w:eastAsiaTheme="minorHAnsi"/>
          <w:lang w:val="en-US" w:eastAsia="en-US"/>
        </w:rPr>
        <w:footnoteReference w:id="5"/>
      </w:r>
      <w:r w:rsidR="000007F6" w:rsidRPr="004033B1">
        <w:rPr>
          <w:rFonts w:eastAsiaTheme="minorHAnsi"/>
          <w:lang w:val="en-US" w:eastAsia="en-US"/>
        </w:rPr>
        <w:t xml:space="preserve"> </w:t>
      </w:r>
    </w:p>
    <w:p w14:paraId="698067DE" w14:textId="4D1EEB68" w:rsidR="00DB1B16" w:rsidRPr="004033B1" w:rsidRDefault="00454F94" w:rsidP="00DB1B16">
      <w:pPr>
        <w:autoSpaceDE w:val="0"/>
        <w:autoSpaceDN w:val="0"/>
        <w:adjustRightInd w:val="0"/>
        <w:spacing w:line="360" w:lineRule="auto"/>
        <w:ind w:firstLine="720"/>
        <w:jc w:val="both"/>
        <w:rPr>
          <w:rFonts w:eastAsiaTheme="minorHAnsi"/>
          <w:lang w:val="en-US" w:eastAsia="en-US"/>
        </w:rPr>
      </w:pPr>
      <w:r w:rsidRPr="004033B1">
        <w:rPr>
          <w:rFonts w:eastAsiaTheme="minorHAnsi"/>
          <w:lang w:val="en-US" w:eastAsia="en-US"/>
        </w:rPr>
        <w:t>Defining populism, however, turn</w:t>
      </w:r>
      <w:r w:rsidR="000E609B">
        <w:rPr>
          <w:rFonts w:eastAsiaTheme="minorHAnsi"/>
          <w:lang w:val="en-US" w:eastAsia="en-US"/>
        </w:rPr>
        <w:t>s out</w:t>
      </w:r>
      <w:r w:rsidRPr="004033B1">
        <w:rPr>
          <w:rFonts w:eastAsiaTheme="minorHAnsi"/>
          <w:lang w:val="en-US" w:eastAsia="en-US"/>
        </w:rPr>
        <w:t xml:space="preserve"> to be more problematic, mainly because different versions of democracy and populism are used as a starting point.</w:t>
      </w:r>
      <w:r w:rsidR="009A6D63">
        <w:rPr>
          <w:rStyle w:val="FootnoteReference"/>
          <w:rFonts w:eastAsiaTheme="minorHAnsi"/>
          <w:lang w:val="en-US" w:eastAsia="en-US"/>
        </w:rPr>
        <w:footnoteReference w:id="6"/>
      </w:r>
      <w:r w:rsidRPr="004033B1">
        <w:rPr>
          <w:rFonts w:eastAsiaTheme="minorHAnsi"/>
          <w:lang w:val="en-US" w:eastAsia="en-US"/>
        </w:rPr>
        <w:t xml:space="preserve"> </w:t>
      </w:r>
      <w:r w:rsidR="00B00F1F" w:rsidRPr="004033B1">
        <w:rPr>
          <w:rFonts w:eastAsiaTheme="minorHAnsi"/>
          <w:lang w:val="en-US" w:eastAsia="en-US"/>
        </w:rPr>
        <w:t>I</w:t>
      </w:r>
      <w:r w:rsidR="006008F1" w:rsidRPr="004033B1">
        <w:rPr>
          <w:rFonts w:eastAsiaTheme="minorHAnsi"/>
          <w:lang w:val="en-US" w:eastAsia="en-US"/>
        </w:rPr>
        <w:t xml:space="preserve">saiah Berlin’s view that the concept of populism suffers from </w:t>
      </w:r>
      <w:r w:rsidR="00A64366">
        <w:rPr>
          <w:rFonts w:eastAsiaTheme="minorHAnsi"/>
          <w:lang w:val="en-US" w:eastAsia="en-US"/>
        </w:rPr>
        <w:t xml:space="preserve">the </w:t>
      </w:r>
      <w:r w:rsidR="006008F1" w:rsidRPr="004033B1">
        <w:rPr>
          <w:rFonts w:eastAsiaTheme="minorHAnsi"/>
          <w:lang w:val="en-US" w:eastAsia="en-US"/>
        </w:rPr>
        <w:t>Cinderella complex – “there is a shoe but not a foot,”</w:t>
      </w:r>
      <w:r w:rsidR="007B4BE2">
        <w:rPr>
          <w:rStyle w:val="FootnoteReference"/>
          <w:rFonts w:eastAsiaTheme="minorHAnsi"/>
          <w:lang w:val="en-US" w:eastAsia="en-US"/>
        </w:rPr>
        <w:footnoteReference w:id="7"/>
      </w:r>
      <w:r w:rsidR="006008F1" w:rsidRPr="004033B1">
        <w:rPr>
          <w:rFonts w:eastAsiaTheme="minorHAnsi"/>
          <w:lang w:val="en-US" w:eastAsia="en-US"/>
        </w:rPr>
        <w:t xml:space="preserve"> and Tibor </w:t>
      </w:r>
      <w:r w:rsidR="007B4BE2" w:rsidRPr="007B4BE2">
        <w:rPr>
          <w:rStyle w:val="Emphasis"/>
          <w:i w:val="0"/>
          <w:iCs w:val="0"/>
          <w:shd w:val="clear" w:color="auto" w:fill="FFFFFF"/>
        </w:rPr>
        <w:t>Várady</w:t>
      </w:r>
      <w:r w:rsidR="007B4BE2" w:rsidRPr="007B4BE2">
        <w:rPr>
          <w:lang w:val="en-US"/>
        </w:rPr>
        <w:t>’</w:t>
      </w:r>
      <w:r w:rsidR="006008F1" w:rsidRPr="007B4BE2">
        <w:rPr>
          <w:rFonts w:eastAsiaTheme="minorHAnsi"/>
          <w:lang w:val="en-US" w:eastAsia="en-US"/>
        </w:rPr>
        <w:t xml:space="preserve">s </w:t>
      </w:r>
      <w:r w:rsidR="006008F1" w:rsidRPr="004033B1">
        <w:rPr>
          <w:rFonts w:eastAsiaTheme="minorHAnsi"/>
          <w:lang w:val="en-US" w:eastAsia="en-US"/>
        </w:rPr>
        <w:t xml:space="preserve">warning that it is still debatable whether the present notion of populism reflects a clear content that could serve as a basic assumption in seeking remedy, </w:t>
      </w:r>
      <w:r w:rsidR="009C6EBD" w:rsidRPr="004033B1">
        <w:rPr>
          <w:rFonts w:eastAsiaTheme="minorHAnsi"/>
          <w:lang w:val="en-US" w:eastAsia="en-US"/>
        </w:rPr>
        <w:t>confirm th</w:t>
      </w:r>
      <w:r w:rsidR="006069BB">
        <w:rPr>
          <w:rFonts w:eastAsiaTheme="minorHAnsi"/>
          <w:lang w:val="en-US" w:eastAsia="en-US"/>
        </w:rPr>
        <w:t>at definitional issues ha</w:t>
      </w:r>
      <w:r w:rsidR="00A4462F">
        <w:rPr>
          <w:rFonts w:eastAsiaTheme="minorHAnsi"/>
          <w:lang w:val="en-US" w:eastAsia="en-US"/>
        </w:rPr>
        <w:t>ve</w:t>
      </w:r>
      <w:r w:rsidR="006069BB">
        <w:rPr>
          <w:rFonts w:eastAsiaTheme="minorHAnsi"/>
          <w:lang w:val="en-US" w:eastAsia="en-US"/>
        </w:rPr>
        <w:t xml:space="preserve"> </w:t>
      </w:r>
      <w:r w:rsidR="00EC6095">
        <w:rPr>
          <w:rFonts w:eastAsiaTheme="minorHAnsi"/>
          <w:lang w:val="en-US" w:eastAsia="en-US"/>
        </w:rPr>
        <w:t>yet to</w:t>
      </w:r>
      <w:r w:rsidR="006069BB">
        <w:rPr>
          <w:rFonts w:eastAsiaTheme="minorHAnsi"/>
          <w:lang w:val="en-US" w:eastAsia="en-US"/>
        </w:rPr>
        <w:t xml:space="preserve"> be resolved</w:t>
      </w:r>
      <w:r w:rsidR="009C6EBD" w:rsidRPr="004033B1">
        <w:rPr>
          <w:rFonts w:eastAsiaTheme="minorHAnsi"/>
          <w:lang w:val="en-US" w:eastAsia="en-US"/>
        </w:rPr>
        <w:t>.</w:t>
      </w:r>
      <w:r w:rsidR="007B4BE2">
        <w:rPr>
          <w:rStyle w:val="FootnoteReference"/>
          <w:rFonts w:eastAsiaTheme="minorHAnsi"/>
          <w:lang w:val="en-US" w:eastAsia="en-US"/>
        </w:rPr>
        <w:footnoteReference w:id="8"/>
      </w:r>
      <w:r w:rsidR="009C6EBD" w:rsidRPr="004033B1">
        <w:rPr>
          <w:rFonts w:eastAsiaTheme="minorHAnsi"/>
          <w:lang w:val="en-US" w:eastAsia="en-US"/>
        </w:rPr>
        <w:t xml:space="preserve"> Yet, it is probably fair to say that </w:t>
      </w:r>
      <w:r w:rsidR="006008F1" w:rsidRPr="004033B1">
        <w:rPr>
          <w:rFonts w:eastAsiaTheme="minorHAnsi"/>
          <w:lang w:val="en-US" w:eastAsia="en-US"/>
        </w:rPr>
        <w:t xml:space="preserve">Cass </w:t>
      </w:r>
      <w:proofErr w:type="spellStart"/>
      <w:r w:rsidR="006008F1" w:rsidRPr="004033B1">
        <w:rPr>
          <w:rFonts w:eastAsiaTheme="minorHAnsi"/>
          <w:lang w:val="en-US" w:eastAsia="en-US"/>
        </w:rPr>
        <w:t>Mudde’s</w:t>
      </w:r>
      <w:proofErr w:type="spellEnd"/>
      <w:r w:rsidR="006008F1" w:rsidRPr="004033B1">
        <w:rPr>
          <w:rFonts w:eastAsiaTheme="minorHAnsi"/>
          <w:lang w:val="en-US" w:eastAsia="en-US"/>
        </w:rPr>
        <w:t xml:space="preserve"> minimum definition of populism </w:t>
      </w:r>
      <w:r w:rsidR="009C6EBD" w:rsidRPr="004033B1">
        <w:rPr>
          <w:rFonts w:eastAsiaTheme="minorHAnsi"/>
          <w:lang w:val="en-US" w:eastAsia="en-US"/>
        </w:rPr>
        <w:t xml:space="preserve">is in line with </w:t>
      </w:r>
      <w:r w:rsidR="006008F1" w:rsidRPr="004033B1">
        <w:rPr>
          <w:rFonts w:eastAsiaTheme="minorHAnsi"/>
          <w:lang w:val="en-US" w:eastAsia="en-US"/>
        </w:rPr>
        <w:t>a growing consensus within the scholarship</w:t>
      </w:r>
      <w:r w:rsidR="009C6EBD" w:rsidRPr="004033B1">
        <w:rPr>
          <w:rFonts w:eastAsiaTheme="minorHAnsi"/>
          <w:lang w:val="en-US" w:eastAsia="en-US"/>
        </w:rPr>
        <w:t xml:space="preserve">. </w:t>
      </w:r>
      <w:r w:rsidR="0065326A" w:rsidRPr="004033B1">
        <w:rPr>
          <w:rFonts w:eastAsiaTheme="minorHAnsi"/>
          <w:lang w:val="en-US" w:eastAsia="en-US"/>
        </w:rPr>
        <w:t>According</w:t>
      </w:r>
      <w:r w:rsidR="00570CB9" w:rsidRPr="004033B1">
        <w:rPr>
          <w:rFonts w:eastAsiaTheme="minorHAnsi"/>
          <w:lang w:val="en-US" w:eastAsia="en-US"/>
        </w:rPr>
        <w:t xml:space="preserve"> to </w:t>
      </w:r>
      <w:proofErr w:type="spellStart"/>
      <w:r w:rsidR="00570CB9" w:rsidRPr="004033B1">
        <w:rPr>
          <w:rFonts w:eastAsiaTheme="minorHAnsi"/>
          <w:lang w:val="en-US" w:eastAsia="en-US"/>
        </w:rPr>
        <w:t>Mudde</w:t>
      </w:r>
      <w:proofErr w:type="spellEnd"/>
      <w:r w:rsidR="00570CB9" w:rsidRPr="004033B1">
        <w:rPr>
          <w:rFonts w:eastAsiaTheme="minorHAnsi"/>
          <w:lang w:val="en-US" w:eastAsia="en-US"/>
        </w:rPr>
        <w:t xml:space="preserve">, populism is </w:t>
      </w:r>
      <w:r w:rsidR="00F7110D" w:rsidRPr="004033B1">
        <w:rPr>
          <w:rFonts w:eastAsiaTheme="minorHAnsi"/>
          <w:lang w:val="en-US" w:eastAsia="en-US"/>
        </w:rPr>
        <w:t>“</w:t>
      </w:r>
      <w:r w:rsidR="00570CB9" w:rsidRPr="004033B1">
        <w:rPr>
          <w:rFonts w:eastAsiaTheme="minorHAnsi"/>
          <w:lang w:val="en-US" w:eastAsia="en-US"/>
        </w:rPr>
        <w:t xml:space="preserve">a thin-centered ideology that considers society to be ultimately separated into two homogeneous and antagonistic groups, ‘the pure people’ versus ‘the corrupt elite’, and which argues that politics should be an expression of the </w:t>
      </w:r>
      <w:proofErr w:type="spellStart"/>
      <w:r w:rsidR="00570CB9" w:rsidRPr="004033B1">
        <w:rPr>
          <w:rFonts w:eastAsiaTheme="minorHAnsi"/>
          <w:lang w:val="en-US" w:eastAsia="en-US"/>
        </w:rPr>
        <w:t>volonté</w:t>
      </w:r>
      <w:proofErr w:type="spellEnd"/>
      <w:r w:rsidR="00570CB9" w:rsidRPr="004033B1">
        <w:rPr>
          <w:rFonts w:eastAsiaTheme="minorHAnsi"/>
          <w:lang w:val="en-US" w:eastAsia="en-US"/>
        </w:rPr>
        <w:t xml:space="preserve"> </w:t>
      </w:r>
      <w:proofErr w:type="spellStart"/>
      <w:r w:rsidR="00570CB9" w:rsidRPr="004033B1">
        <w:rPr>
          <w:rFonts w:eastAsiaTheme="minorHAnsi"/>
          <w:lang w:val="en-US" w:eastAsia="en-US"/>
        </w:rPr>
        <w:t>générale</w:t>
      </w:r>
      <w:proofErr w:type="spellEnd"/>
      <w:r w:rsidR="00570CB9" w:rsidRPr="004033B1">
        <w:rPr>
          <w:rFonts w:eastAsiaTheme="minorHAnsi"/>
          <w:lang w:val="en-US" w:eastAsia="en-US"/>
        </w:rPr>
        <w:t xml:space="preserve"> (general will) of the people</w:t>
      </w:r>
      <w:r w:rsidR="00F7110D" w:rsidRPr="004033B1">
        <w:rPr>
          <w:rFonts w:eastAsiaTheme="minorHAnsi"/>
          <w:lang w:val="en-US" w:eastAsia="en-US"/>
        </w:rPr>
        <w:t>.”</w:t>
      </w:r>
      <w:r w:rsidR="0009106E">
        <w:rPr>
          <w:rStyle w:val="FootnoteReference"/>
          <w:rFonts w:eastAsiaTheme="minorHAnsi"/>
          <w:lang w:val="en-US" w:eastAsia="en-US"/>
        </w:rPr>
        <w:footnoteReference w:id="9"/>
      </w:r>
      <w:r w:rsidR="006066E5" w:rsidRPr="004033B1">
        <w:rPr>
          <w:rFonts w:eastAsiaTheme="minorHAnsi"/>
          <w:lang w:val="en-US" w:eastAsia="en-US"/>
        </w:rPr>
        <w:t xml:space="preserve"> </w:t>
      </w:r>
      <w:r w:rsidR="00842134" w:rsidRPr="004033B1">
        <w:rPr>
          <w:rFonts w:eastAsiaTheme="minorHAnsi"/>
          <w:lang w:val="en-US" w:eastAsia="en-US"/>
        </w:rPr>
        <w:t xml:space="preserve">Speaking directly in the name of </w:t>
      </w:r>
      <w:r w:rsidR="00844560" w:rsidRPr="004033B1">
        <w:rPr>
          <w:rFonts w:eastAsiaTheme="minorHAnsi"/>
          <w:lang w:val="en-US" w:eastAsia="en-US"/>
        </w:rPr>
        <w:t xml:space="preserve">the </w:t>
      </w:r>
      <w:r w:rsidR="00880995">
        <w:rPr>
          <w:rFonts w:eastAsiaTheme="minorHAnsi"/>
          <w:lang w:val="en-US" w:eastAsia="en-US"/>
        </w:rPr>
        <w:t>‘</w:t>
      </w:r>
      <w:r w:rsidR="00844560" w:rsidRPr="004033B1">
        <w:rPr>
          <w:rFonts w:eastAsiaTheme="minorHAnsi"/>
          <w:lang w:val="en-US" w:eastAsia="en-US"/>
        </w:rPr>
        <w:t>pure</w:t>
      </w:r>
      <w:r w:rsidR="00880995">
        <w:rPr>
          <w:rFonts w:eastAsiaTheme="minorHAnsi"/>
          <w:lang w:val="en-US" w:eastAsia="en-US"/>
        </w:rPr>
        <w:t>’</w:t>
      </w:r>
      <w:r w:rsidR="00844560" w:rsidRPr="004033B1">
        <w:rPr>
          <w:rFonts w:eastAsiaTheme="minorHAnsi"/>
          <w:lang w:val="en-US" w:eastAsia="en-US"/>
        </w:rPr>
        <w:t xml:space="preserve"> people</w:t>
      </w:r>
      <w:r w:rsidR="00842134" w:rsidRPr="004033B1">
        <w:rPr>
          <w:rFonts w:eastAsiaTheme="minorHAnsi"/>
          <w:lang w:val="en-US" w:eastAsia="en-US"/>
        </w:rPr>
        <w:t>,</w:t>
      </w:r>
      <w:r w:rsidR="00844560" w:rsidRPr="004033B1">
        <w:rPr>
          <w:rFonts w:eastAsiaTheme="minorHAnsi"/>
          <w:lang w:val="en-US" w:eastAsia="en-US"/>
        </w:rPr>
        <w:t xml:space="preserve"> </w:t>
      </w:r>
      <w:r w:rsidR="000007F6" w:rsidRPr="004033B1">
        <w:rPr>
          <w:rFonts w:eastAsiaTheme="minorHAnsi"/>
          <w:lang w:val="en-US" w:eastAsia="en-US"/>
        </w:rPr>
        <w:t>populists have been persistently eroding what Rosalyn Dixon and David Landau call “substantive ‘minimum core’ of democracy”: commitments to free and fair elections, the separation of powers, fundamental rights and governmental accountability.</w:t>
      </w:r>
      <w:r w:rsidR="00086297">
        <w:rPr>
          <w:rStyle w:val="FootnoteReference"/>
          <w:rFonts w:eastAsiaTheme="minorHAnsi"/>
          <w:lang w:val="en-US" w:eastAsia="en-US"/>
        </w:rPr>
        <w:footnoteReference w:id="10"/>
      </w:r>
      <w:r w:rsidR="000007F6" w:rsidRPr="004033B1">
        <w:rPr>
          <w:rFonts w:eastAsiaTheme="minorHAnsi"/>
          <w:lang w:val="en-US" w:eastAsia="en-US"/>
        </w:rPr>
        <w:t xml:space="preserve"> </w:t>
      </w:r>
      <w:r w:rsidR="002C6FD0" w:rsidRPr="004033B1">
        <w:rPr>
          <w:rFonts w:eastAsiaTheme="minorHAnsi"/>
          <w:lang w:val="en-US" w:eastAsia="en-US"/>
        </w:rPr>
        <w:t>Consequently, populists, like extremists, are depicted as</w:t>
      </w:r>
      <w:r w:rsidR="00A64366">
        <w:rPr>
          <w:rFonts w:eastAsiaTheme="minorHAnsi"/>
          <w:lang w:val="en-US" w:eastAsia="en-US"/>
        </w:rPr>
        <w:t xml:space="preserve"> a</w:t>
      </w:r>
      <w:r w:rsidR="002C6FD0" w:rsidRPr="004033B1">
        <w:rPr>
          <w:rFonts w:eastAsiaTheme="minorHAnsi"/>
          <w:lang w:val="en-US" w:eastAsia="en-US"/>
        </w:rPr>
        <w:t xml:space="preserve"> threat to democracy. </w:t>
      </w:r>
    </w:p>
    <w:p w14:paraId="423A929B" w14:textId="4142CFBA" w:rsidR="00505430" w:rsidRPr="004033B1" w:rsidRDefault="002C6FD0" w:rsidP="00505430">
      <w:pPr>
        <w:autoSpaceDE w:val="0"/>
        <w:autoSpaceDN w:val="0"/>
        <w:adjustRightInd w:val="0"/>
        <w:spacing w:line="360" w:lineRule="auto"/>
        <w:ind w:firstLine="720"/>
        <w:jc w:val="both"/>
        <w:rPr>
          <w:rFonts w:eastAsiaTheme="minorHAnsi"/>
          <w:lang w:val="en-US" w:eastAsia="en-US"/>
        </w:rPr>
      </w:pPr>
      <w:r w:rsidRPr="004033B1">
        <w:rPr>
          <w:rFonts w:eastAsiaTheme="minorHAnsi"/>
          <w:lang w:val="en-US" w:eastAsia="en-US"/>
        </w:rPr>
        <w:t>Now</w:t>
      </w:r>
      <w:r w:rsidR="00900619" w:rsidRPr="004033B1">
        <w:rPr>
          <w:rFonts w:eastAsiaTheme="minorHAnsi"/>
          <w:lang w:val="en-US" w:eastAsia="en-US"/>
        </w:rPr>
        <w:t xml:space="preserve">, ever since early twenty-first century </w:t>
      </w:r>
      <w:r w:rsidR="00A64366">
        <w:rPr>
          <w:rFonts w:eastAsiaTheme="minorHAnsi"/>
          <w:lang w:val="en-US" w:eastAsia="en-US"/>
        </w:rPr>
        <w:t xml:space="preserve">when </w:t>
      </w:r>
      <w:r w:rsidR="002716B3">
        <w:rPr>
          <w:rFonts w:eastAsiaTheme="minorHAnsi"/>
          <w:lang w:val="en-US" w:eastAsia="en-US"/>
        </w:rPr>
        <w:t>p</w:t>
      </w:r>
      <w:r w:rsidR="00900619" w:rsidRPr="004033B1">
        <w:rPr>
          <w:rFonts w:eastAsiaTheme="minorHAnsi"/>
          <w:lang w:val="en-US" w:eastAsia="en-US"/>
        </w:rPr>
        <w:t xml:space="preserve">opulism re-emerged and </w:t>
      </w:r>
      <w:r w:rsidR="001A41EB" w:rsidRPr="004033B1">
        <w:rPr>
          <w:rFonts w:eastAsiaTheme="minorHAnsi"/>
          <w:lang w:val="en-US" w:eastAsia="en-US"/>
        </w:rPr>
        <w:t xml:space="preserve">managed to </w:t>
      </w:r>
      <w:r w:rsidR="00900619" w:rsidRPr="004033B1">
        <w:rPr>
          <w:rFonts w:eastAsiaTheme="minorHAnsi"/>
          <w:lang w:val="en-US" w:eastAsia="en-US"/>
        </w:rPr>
        <w:t>reduc</w:t>
      </w:r>
      <w:r w:rsidR="001A41EB" w:rsidRPr="004033B1">
        <w:rPr>
          <w:rFonts w:eastAsiaTheme="minorHAnsi"/>
          <w:lang w:val="en-US" w:eastAsia="en-US"/>
        </w:rPr>
        <w:t>e</w:t>
      </w:r>
      <w:r w:rsidR="00900619" w:rsidRPr="004033B1">
        <w:rPr>
          <w:rFonts w:eastAsiaTheme="minorHAnsi"/>
          <w:lang w:val="en-US" w:eastAsia="en-US"/>
        </w:rPr>
        <w:t xml:space="preserve"> democracy to the plebiscite elections </w:t>
      </w:r>
      <w:r w:rsidR="001A41EB" w:rsidRPr="004033B1">
        <w:rPr>
          <w:rFonts w:eastAsiaTheme="minorHAnsi"/>
          <w:lang w:val="en-US" w:eastAsia="en-US"/>
        </w:rPr>
        <w:t xml:space="preserve">in </w:t>
      </w:r>
      <w:r w:rsidR="00900619" w:rsidRPr="004033B1">
        <w:rPr>
          <w:rFonts w:eastAsiaTheme="minorHAnsi"/>
          <w:lang w:val="en-US" w:eastAsia="en-US"/>
        </w:rPr>
        <w:t xml:space="preserve">a growing number of states, much ink has been spilled on possible strategies which </w:t>
      </w:r>
      <w:r w:rsidR="006066E5" w:rsidRPr="004033B1">
        <w:rPr>
          <w:rFonts w:eastAsiaTheme="minorHAnsi"/>
          <w:lang w:val="en-US" w:eastAsia="en-US"/>
        </w:rPr>
        <w:t>could</w:t>
      </w:r>
      <w:r w:rsidR="00900619" w:rsidRPr="004033B1">
        <w:rPr>
          <w:rFonts w:eastAsiaTheme="minorHAnsi"/>
          <w:lang w:val="en-US" w:eastAsia="en-US"/>
        </w:rPr>
        <w:t xml:space="preserve"> save democracy from dying. </w:t>
      </w:r>
      <w:r w:rsidR="001A41EB" w:rsidRPr="004033B1">
        <w:rPr>
          <w:rFonts w:eastAsiaTheme="minorHAnsi"/>
          <w:lang w:val="en-US" w:eastAsia="en-US"/>
        </w:rPr>
        <w:t xml:space="preserve">Among numerous </w:t>
      </w:r>
      <w:r w:rsidR="001A41EB" w:rsidRPr="004033B1">
        <w:rPr>
          <w:rFonts w:eastAsiaTheme="minorHAnsi"/>
          <w:lang w:val="en-US" w:eastAsia="en-US"/>
        </w:rPr>
        <w:lastRenderedPageBreak/>
        <w:t xml:space="preserve">studies tackling this issue, </w:t>
      </w:r>
      <w:r w:rsidR="00A64366">
        <w:rPr>
          <w:rFonts w:eastAsiaTheme="minorHAnsi"/>
          <w:lang w:val="en-US" w:eastAsia="en-US"/>
        </w:rPr>
        <w:t>a</w:t>
      </w:r>
      <w:r w:rsidR="00A64366" w:rsidRPr="004033B1">
        <w:rPr>
          <w:rFonts w:eastAsiaTheme="minorHAnsi"/>
          <w:lang w:val="en-US" w:eastAsia="en-US"/>
        </w:rPr>
        <w:t xml:space="preserve"> </w:t>
      </w:r>
      <w:r w:rsidR="001A41EB" w:rsidRPr="004033B1">
        <w:rPr>
          <w:rFonts w:eastAsiaTheme="minorHAnsi"/>
          <w:lang w:val="en-US" w:eastAsia="en-US"/>
        </w:rPr>
        <w:t xml:space="preserve">prominent place, for a number of reasons, occupies Tom Ginsburg’s and Aziz Huq’s book </w:t>
      </w:r>
      <w:r w:rsidR="001A41EB" w:rsidRPr="004033B1">
        <w:rPr>
          <w:rFonts w:eastAsiaTheme="minorHAnsi"/>
          <w:i/>
          <w:iCs/>
          <w:lang w:val="en-US" w:eastAsia="en-US"/>
        </w:rPr>
        <w:t>How to Save a Constitutional Democracy</w:t>
      </w:r>
      <w:r w:rsidR="001A41EB" w:rsidRPr="004033B1">
        <w:rPr>
          <w:rFonts w:eastAsiaTheme="minorHAnsi"/>
          <w:lang w:val="en-US" w:eastAsia="en-US"/>
        </w:rPr>
        <w:t>.</w:t>
      </w:r>
      <w:r w:rsidR="00061277">
        <w:rPr>
          <w:rStyle w:val="FootnoteReference"/>
          <w:rFonts w:eastAsiaTheme="minorHAnsi"/>
          <w:lang w:val="en-US" w:eastAsia="en-US"/>
        </w:rPr>
        <w:footnoteReference w:id="11"/>
      </w:r>
      <w:r w:rsidR="001A41EB" w:rsidRPr="004033B1">
        <w:rPr>
          <w:rFonts w:eastAsiaTheme="minorHAnsi"/>
          <w:lang w:val="en-US" w:eastAsia="en-US"/>
        </w:rPr>
        <w:t xml:space="preserve"> </w:t>
      </w:r>
      <w:r w:rsidR="00566AA8" w:rsidRPr="004033B1">
        <w:rPr>
          <w:rFonts w:eastAsiaTheme="minorHAnsi"/>
          <w:lang w:val="en-US" w:eastAsia="en-US"/>
        </w:rPr>
        <w:t>The authors understand democratic erosion as the decay of several basic grounds on which democracy is founded – competitive elections, freedom of expression, associational rights, and the rule of law.</w:t>
      </w:r>
      <w:r w:rsidR="000F0A04">
        <w:rPr>
          <w:rStyle w:val="FootnoteReference"/>
          <w:rFonts w:eastAsiaTheme="minorHAnsi"/>
          <w:lang w:val="en-US" w:eastAsia="en-US"/>
        </w:rPr>
        <w:footnoteReference w:id="12"/>
      </w:r>
      <w:r w:rsidR="00566AA8" w:rsidRPr="004033B1">
        <w:rPr>
          <w:rFonts w:eastAsiaTheme="minorHAnsi"/>
          <w:lang w:val="en-US" w:eastAsia="en-US"/>
        </w:rPr>
        <w:t xml:space="preserve"> They identify five mechanisms through which democratic erosion occurs: formal constitutional amendment, systematic dismantling of interbranch checks, the elimination of political competition, centralization and politicization of the executive power, and weakening of the public sphere.</w:t>
      </w:r>
      <w:r w:rsidR="000F0A04">
        <w:rPr>
          <w:rStyle w:val="FootnoteReference"/>
          <w:rFonts w:eastAsiaTheme="minorHAnsi"/>
          <w:lang w:val="en-US" w:eastAsia="en-US"/>
        </w:rPr>
        <w:footnoteReference w:id="13"/>
      </w:r>
      <w:r w:rsidR="00566AA8" w:rsidRPr="004033B1">
        <w:rPr>
          <w:rFonts w:eastAsiaTheme="minorHAnsi"/>
          <w:lang w:val="en-US" w:eastAsia="en-US"/>
        </w:rPr>
        <w:t xml:space="preserve"> Their focus</w:t>
      </w:r>
      <w:r w:rsidR="00A64366">
        <w:rPr>
          <w:rFonts w:eastAsiaTheme="minorHAnsi"/>
          <w:lang w:val="en-US" w:eastAsia="en-US"/>
        </w:rPr>
        <w:t>,</w:t>
      </w:r>
      <w:r w:rsidR="00566AA8" w:rsidRPr="004033B1">
        <w:rPr>
          <w:rFonts w:eastAsiaTheme="minorHAnsi"/>
          <w:lang w:val="en-US" w:eastAsia="en-US"/>
        </w:rPr>
        <w:t xml:space="preserve"> then</w:t>
      </w:r>
      <w:r w:rsidR="00A64366">
        <w:rPr>
          <w:rFonts w:eastAsiaTheme="minorHAnsi"/>
          <w:lang w:val="en-US" w:eastAsia="en-US"/>
        </w:rPr>
        <w:t>,</w:t>
      </w:r>
      <w:r w:rsidR="00566AA8" w:rsidRPr="004033B1">
        <w:rPr>
          <w:rFonts w:eastAsiaTheme="minorHAnsi"/>
          <w:lang w:val="en-US" w:eastAsia="en-US"/>
        </w:rPr>
        <w:t xml:space="preserve"> shifts to various protective measures that could potentially stop the erosion,</w:t>
      </w:r>
      <w:r w:rsidR="005F62E0">
        <w:rPr>
          <w:rStyle w:val="FootnoteReference"/>
          <w:rFonts w:eastAsiaTheme="minorHAnsi"/>
          <w:lang w:val="en-US" w:eastAsia="en-US"/>
        </w:rPr>
        <w:footnoteReference w:id="14"/>
      </w:r>
      <w:r w:rsidR="00566AA8" w:rsidRPr="004033B1">
        <w:rPr>
          <w:rFonts w:eastAsiaTheme="minorHAnsi"/>
          <w:lang w:val="en-US" w:eastAsia="en-US"/>
        </w:rPr>
        <w:t xml:space="preserve"> including the concept of militant democracy, which they flatly eliminate from the constitutional toolkit for democracy protection. Ginsburg and Huq find militant democracy not only an inadequate tool to tackle a polarized political environment as “it raises the stakes of majority control, when in fact, the opposite is needed,”</w:t>
      </w:r>
      <w:r w:rsidR="0045740B">
        <w:rPr>
          <w:rStyle w:val="FootnoteReference"/>
          <w:rFonts w:eastAsiaTheme="minorHAnsi"/>
          <w:lang w:val="en-US" w:eastAsia="en-US"/>
        </w:rPr>
        <w:footnoteReference w:id="15"/>
      </w:r>
      <w:r w:rsidR="00566AA8" w:rsidRPr="004033B1">
        <w:rPr>
          <w:rFonts w:eastAsiaTheme="minorHAnsi"/>
          <w:lang w:val="en-US" w:eastAsia="en-US"/>
        </w:rPr>
        <w:t xml:space="preserve"> but also “a very risky strategy for associational rights that are at democracy’s core.”</w:t>
      </w:r>
      <w:r w:rsidR="000F0A04">
        <w:rPr>
          <w:rStyle w:val="FootnoteReference"/>
          <w:rFonts w:eastAsiaTheme="minorHAnsi"/>
          <w:lang w:val="en-US" w:eastAsia="en-US"/>
        </w:rPr>
        <w:footnoteReference w:id="16"/>
      </w:r>
      <w:r w:rsidR="00566AA8" w:rsidRPr="004033B1">
        <w:rPr>
          <w:rFonts w:eastAsiaTheme="minorHAnsi"/>
          <w:lang w:val="en-US" w:eastAsia="en-US"/>
        </w:rPr>
        <w:t xml:space="preserve">  </w:t>
      </w:r>
    </w:p>
    <w:p w14:paraId="24FA198D" w14:textId="1119BC0B" w:rsidR="00981545" w:rsidRPr="004033B1" w:rsidRDefault="0003363D" w:rsidP="0090796B">
      <w:pPr>
        <w:autoSpaceDE w:val="0"/>
        <w:autoSpaceDN w:val="0"/>
        <w:adjustRightInd w:val="0"/>
        <w:spacing w:line="360" w:lineRule="auto"/>
        <w:ind w:firstLine="720"/>
        <w:jc w:val="both"/>
        <w:rPr>
          <w:lang w:val="en-US"/>
        </w:rPr>
      </w:pPr>
      <w:r w:rsidRPr="004033B1">
        <w:rPr>
          <w:rFonts w:eastAsiaTheme="minorHAnsi"/>
          <w:lang w:val="en-US" w:eastAsia="en-US"/>
        </w:rPr>
        <w:t>In particular, Ginsburg and Huq argue that militant democracy is designed to fight with internal enemies of democracy. As such, it is an inadequate tool to tackle, for example, democratic backsliding in Poland and Hungary or to address the situation in Trump’s US, as the populist parties’ strategies to erode democracy are much broader in scope than Nazi’s strategies used to capture and abolish democracy.</w:t>
      </w:r>
      <w:r w:rsidR="000F0A04">
        <w:rPr>
          <w:rStyle w:val="FootnoteReference"/>
          <w:rFonts w:eastAsiaTheme="minorHAnsi"/>
          <w:lang w:val="en-US" w:eastAsia="en-US"/>
        </w:rPr>
        <w:footnoteReference w:id="17"/>
      </w:r>
      <w:r w:rsidRPr="004033B1">
        <w:rPr>
          <w:rFonts w:eastAsiaTheme="minorHAnsi"/>
          <w:lang w:val="en-US" w:eastAsia="en-US"/>
        </w:rPr>
        <w:t xml:space="preserve"> However, inadequacy is not their main worry. They are more concerned with the contra-productive effect </w:t>
      </w:r>
      <w:r w:rsidR="00D306B9">
        <w:rPr>
          <w:rFonts w:eastAsiaTheme="minorHAnsi"/>
          <w:lang w:val="en-US" w:eastAsia="en-US"/>
        </w:rPr>
        <w:t xml:space="preserve">the </w:t>
      </w:r>
      <w:r w:rsidRPr="004033B1">
        <w:rPr>
          <w:rFonts w:eastAsiaTheme="minorHAnsi"/>
          <w:lang w:val="en-US" w:eastAsia="en-US"/>
        </w:rPr>
        <w:t xml:space="preserve">militant democracy might have as it may be used against </w:t>
      </w:r>
      <w:r w:rsidR="00D306B9" w:rsidRPr="004033B1">
        <w:rPr>
          <w:rFonts w:eastAsiaTheme="minorHAnsi"/>
          <w:lang w:val="en-US" w:eastAsia="en-US"/>
        </w:rPr>
        <w:t>any</w:t>
      </w:r>
      <w:r w:rsidR="00D306B9">
        <w:rPr>
          <w:rFonts w:eastAsiaTheme="minorHAnsi"/>
          <w:lang w:val="en-US" w:eastAsia="en-US"/>
        </w:rPr>
        <w:t>one</w:t>
      </w:r>
      <w:r w:rsidR="00D306B9" w:rsidRPr="004033B1">
        <w:rPr>
          <w:rFonts w:eastAsiaTheme="minorHAnsi"/>
          <w:lang w:val="en-US" w:eastAsia="en-US"/>
        </w:rPr>
        <w:t xml:space="preserve"> </w:t>
      </w:r>
      <w:r w:rsidRPr="004033B1">
        <w:rPr>
          <w:rFonts w:eastAsiaTheme="minorHAnsi"/>
          <w:lang w:val="en-US" w:eastAsia="en-US"/>
        </w:rPr>
        <w:t>perceived as “alien and therefore unworthy of inclusion in the body politics.”</w:t>
      </w:r>
      <w:r w:rsidR="000F0A04">
        <w:rPr>
          <w:rStyle w:val="FootnoteReference"/>
          <w:rFonts w:eastAsiaTheme="minorHAnsi"/>
          <w:lang w:val="en-US" w:eastAsia="en-US"/>
        </w:rPr>
        <w:footnoteReference w:id="18"/>
      </w:r>
      <w:r w:rsidRPr="004033B1">
        <w:rPr>
          <w:rFonts w:eastAsiaTheme="minorHAnsi"/>
          <w:lang w:val="en-US" w:eastAsia="en-US"/>
        </w:rPr>
        <w:t xml:space="preserve"> In their view, this is particularly dangerous in cases related to the limitation of the associational rights of minorities, especially </w:t>
      </w:r>
      <w:r w:rsidR="0095549C" w:rsidRPr="004033B1">
        <w:rPr>
          <w:rFonts w:eastAsiaTheme="minorHAnsi"/>
          <w:lang w:val="en-US" w:eastAsia="en-US"/>
        </w:rPr>
        <w:t xml:space="preserve">European </w:t>
      </w:r>
      <w:r w:rsidRPr="004033B1">
        <w:rPr>
          <w:rFonts w:eastAsiaTheme="minorHAnsi"/>
          <w:lang w:val="en-US" w:eastAsia="en-US"/>
        </w:rPr>
        <w:t>Muslims, although they admit that the original justifications of militant democracy (Loewenstein’s) “are not present in respect to the targeted groups.”</w:t>
      </w:r>
      <w:r w:rsidR="000F0A04">
        <w:rPr>
          <w:rStyle w:val="FootnoteReference"/>
          <w:rFonts w:eastAsiaTheme="minorHAnsi"/>
          <w:lang w:val="en-US" w:eastAsia="en-US"/>
        </w:rPr>
        <w:footnoteReference w:id="19"/>
      </w:r>
      <w:r w:rsidRPr="004033B1">
        <w:rPr>
          <w:rFonts w:eastAsiaTheme="minorHAnsi"/>
          <w:lang w:val="en-US" w:eastAsia="en-US"/>
        </w:rPr>
        <w:t xml:space="preserve"> </w:t>
      </w:r>
      <w:r w:rsidR="00505430" w:rsidRPr="004033B1">
        <w:rPr>
          <w:lang w:val="en-US"/>
        </w:rPr>
        <w:t xml:space="preserve">To justify their claim, Ginsburg and Huq turn to a </w:t>
      </w:r>
      <w:r w:rsidR="00505430" w:rsidRPr="004033B1">
        <w:rPr>
          <w:lang w:val="en-US"/>
        </w:rPr>
        <w:lastRenderedPageBreak/>
        <w:t xml:space="preserve">position of Muslims in today’s Europe, although they correctly note that European Muslims have no chance </w:t>
      </w:r>
      <w:r w:rsidR="00D306B9">
        <w:rPr>
          <w:lang w:val="en-US"/>
        </w:rPr>
        <w:t>to</w:t>
      </w:r>
      <w:r w:rsidR="00D306B9" w:rsidRPr="004033B1">
        <w:rPr>
          <w:lang w:val="en-US"/>
        </w:rPr>
        <w:t xml:space="preserve"> </w:t>
      </w:r>
      <w:r w:rsidR="00505430" w:rsidRPr="004033B1">
        <w:rPr>
          <w:lang w:val="en-US"/>
        </w:rPr>
        <w:t>seiz</w:t>
      </w:r>
      <w:r w:rsidR="00D306B9">
        <w:rPr>
          <w:lang w:val="en-US"/>
        </w:rPr>
        <w:t>e</w:t>
      </w:r>
      <w:r w:rsidR="00505430" w:rsidRPr="004033B1">
        <w:rPr>
          <w:lang w:val="en-US"/>
        </w:rPr>
        <w:t xml:space="preserve"> the political power to overturn democracy.</w:t>
      </w:r>
      <w:r w:rsidR="009A6D63">
        <w:rPr>
          <w:rStyle w:val="FootnoteReference"/>
          <w:lang w:val="en-US"/>
        </w:rPr>
        <w:footnoteReference w:id="20"/>
      </w:r>
      <w:r w:rsidR="00505430" w:rsidRPr="004033B1">
        <w:rPr>
          <w:lang w:val="en-US"/>
        </w:rPr>
        <w:t xml:space="preserve"> </w:t>
      </w:r>
    </w:p>
    <w:p w14:paraId="68D70D82" w14:textId="109BE4C4" w:rsidR="004114D4" w:rsidRPr="004033B1" w:rsidRDefault="00981545" w:rsidP="0090796B">
      <w:pPr>
        <w:autoSpaceDE w:val="0"/>
        <w:autoSpaceDN w:val="0"/>
        <w:adjustRightInd w:val="0"/>
        <w:spacing w:line="360" w:lineRule="auto"/>
        <w:ind w:firstLine="720"/>
        <w:jc w:val="both"/>
        <w:rPr>
          <w:lang w:val="en-US"/>
        </w:rPr>
      </w:pPr>
      <w:r w:rsidRPr="004033B1">
        <w:rPr>
          <w:lang w:val="en-US"/>
        </w:rPr>
        <w:t xml:space="preserve">Despite admitting </w:t>
      </w:r>
      <w:r w:rsidR="00505430" w:rsidRPr="004033B1">
        <w:rPr>
          <w:lang w:val="en-US"/>
        </w:rPr>
        <w:t>that the basic assumption for the implementation of militant democracy measures is not fulfilled in this case (to activate militant democracy, the enemy of democracy should aim at seizing the political power to destroy democracy), they nonetheless continue to build the case against militant democracy</w:t>
      </w:r>
      <w:r w:rsidRPr="004033B1">
        <w:rPr>
          <w:lang w:val="en-US"/>
        </w:rPr>
        <w:t xml:space="preserve"> on this example, </w:t>
      </w:r>
      <w:r w:rsidR="00505430" w:rsidRPr="004033B1">
        <w:rPr>
          <w:lang w:val="en-US"/>
        </w:rPr>
        <w:t xml:space="preserve">arguing that its methods are used to discriminate Muslims in Europe. </w:t>
      </w:r>
      <w:r w:rsidRPr="004033B1">
        <w:rPr>
          <w:lang w:val="en-US"/>
        </w:rPr>
        <w:t>On this point, t</w:t>
      </w:r>
      <w:r w:rsidR="00505430" w:rsidRPr="004033B1">
        <w:rPr>
          <w:lang w:val="en-US"/>
        </w:rPr>
        <w:t>hey offer two</w:t>
      </w:r>
      <w:r w:rsidR="006D6870">
        <w:rPr>
          <w:lang w:val="en-US"/>
        </w:rPr>
        <w:t xml:space="preserve"> concrete</w:t>
      </w:r>
      <w:r w:rsidR="00505430" w:rsidRPr="004033B1">
        <w:rPr>
          <w:lang w:val="en-US"/>
        </w:rPr>
        <w:t xml:space="preserve"> examples. The first is the prohibition of </w:t>
      </w:r>
      <w:r w:rsidR="00505430" w:rsidRPr="004033B1">
        <w:rPr>
          <w:rStyle w:val="Emphasis"/>
          <w:i w:val="0"/>
          <w:iCs w:val="0"/>
          <w:color w:val="0E101A"/>
          <w:lang w:val="en-US"/>
        </w:rPr>
        <w:t>Muslim women</w:t>
      </w:r>
      <w:r w:rsidR="00505430" w:rsidRPr="004033B1">
        <w:rPr>
          <w:i/>
          <w:iCs/>
          <w:lang w:val="en-US"/>
        </w:rPr>
        <w:t> </w:t>
      </w:r>
      <w:r w:rsidR="00505430" w:rsidRPr="004033B1">
        <w:rPr>
          <w:lang w:val="en-US"/>
        </w:rPr>
        <w:t>to</w:t>
      </w:r>
      <w:r w:rsidR="00505430" w:rsidRPr="004033B1">
        <w:rPr>
          <w:i/>
          <w:iCs/>
          <w:lang w:val="en-US"/>
        </w:rPr>
        <w:t> </w:t>
      </w:r>
      <w:r w:rsidR="00505430" w:rsidRPr="004033B1">
        <w:rPr>
          <w:rStyle w:val="Emphasis"/>
          <w:i w:val="0"/>
          <w:iCs w:val="0"/>
          <w:color w:val="0E101A"/>
          <w:lang w:val="en-US"/>
        </w:rPr>
        <w:t>wear</w:t>
      </w:r>
      <w:r w:rsidR="00505430" w:rsidRPr="004033B1">
        <w:rPr>
          <w:lang w:val="en-US"/>
        </w:rPr>
        <w:t> head coverings at specific workplaces</w:t>
      </w:r>
      <w:r w:rsidR="004114D4" w:rsidRPr="004033B1">
        <w:rPr>
          <w:lang w:val="en-US"/>
        </w:rPr>
        <w:t>,</w:t>
      </w:r>
      <w:r w:rsidRPr="004033B1">
        <w:rPr>
          <w:lang w:val="en-US"/>
        </w:rPr>
        <w:t xml:space="preserve"> </w:t>
      </w:r>
      <w:r w:rsidR="00505430" w:rsidRPr="004033B1">
        <w:rPr>
          <w:lang w:val="en-US"/>
        </w:rPr>
        <w:t>upheld in European Human Rights Law</w:t>
      </w:r>
      <w:r w:rsidR="004114D4" w:rsidRPr="004033B1">
        <w:rPr>
          <w:lang w:val="en-US"/>
        </w:rPr>
        <w:t xml:space="preserve"> which, at the same time, </w:t>
      </w:r>
      <w:r w:rsidRPr="004033B1">
        <w:rPr>
          <w:lang w:val="en-US"/>
        </w:rPr>
        <w:t>tolera</w:t>
      </w:r>
      <w:r w:rsidR="004114D4" w:rsidRPr="004033B1">
        <w:rPr>
          <w:lang w:val="en-US"/>
        </w:rPr>
        <w:t>tes</w:t>
      </w:r>
      <w:r w:rsidRPr="004033B1">
        <w:rPr>
          <w:lang w:val="en-US"/>
        </w:rPr>
        <w:t xml:space="preserve"> </w:t>
      </w:r>
      <w:r w:rsidR="00505430" w:rsidRPr="004033B1">
        <w:rPr>
          <w:lang w:val="en-US"/>
        </w:rPr>
        <w:t>the choice to display Christian symbols in the classrooms.</w:t>
      </w:r>
      <w:r w:rsidR="000F0A04">
        <w:rPr>
          <w:rStyle w:val="FootnoteReference"/>
          <w:lang w:val="en-US"/>
        </w:rPr>
        <w:footnoteReference w:id="21"/>
      </w:r>
      <w:r w:rsidR="00505430" w:rsidRPr="004033B1">
        <w:rPr>
          <w:lang w:val="en-US"/>
        </w:rPr>
        <w:t xml:space="preserve"> The second is the extensive use of antiterrorist measures in France during the state of emergency declared after terrorist attacks in Paris, </w:t>
      </w:r>
      <w:r w:rsidR="004114D4" w:rsidRPr="004033B1">
        <w:rPr>
          <w:lang w:val="en-US"/>
        </w:rPr>
        <w:t xml:space="preserve">with a high impact on </w:t>
      </w:r>
      <w:r w:rsidR="00505430" w:rsidRPr="004033B1">
        <w:rPr>
          <w:lang w:val="en-US"/>
        </w:rPr>
        <w:t>“the closure or close surveillance of many mosques and Islamic association.”</w:t>
      </w:r>
      <w:r w:rsidR="000F0A04">
        <w:rPr>
          <w:rStyle w:val="FootnoteReference"/>
          <w:lang w:val="en-US"/>
        </w:rPr>
        <w:footnoteReference w:id="22"/>
      </w:r>
      <w:r w:rsidR="00505430" w:rsidRPr="004033B1">
        <w:rPr>
          <w:lang w:val="en-US"/>
        </w:rPr>
        <w:t> </w:t>
      </w:r>
    </w:p>
    <w:p w14:paraId="5AD22DFA" w14:textId="234FB416" w:rsidR="0090796B" w:rsidRPr="004033B1" w:rsidRDefault="0095549C" w:rsidP="0090796B">
      <w:pPr>
        <w:autoSpaceDE w:val="0"/>
        <w:autoSpaceDN w:val="0"/>
        <w:adjustRightInd w:val="0"/>
        <w:spacing w:line="360" w:lineRule="auto"/>
        <w:ind w:firstLine="720"/>
        <w:jc w:val="both"/>
        <w:rPr>
          <w:lang w:val="en-US"/>
        </w:rPr>
      </w:pPr>
      <w:r w:rsidRPr="004033B1">
        <w:rPr>
          <w:rFonts w:eastAsiaTheme="minorHAnsi"/>
          <w:lang w:val="en-US" w:eastAsia="en-US"/>
        </w:rPr>
        <w:t xml:space="preserve">Finally, </w:t>
      </w:r>
      <w:r w:rsidRPr="004033B1">
        <w:rPr>
          <w:lang w:val="en-US"/>
        </w:rPr>
        <w:t xml:space="preserve">Ginsburg and Huq question the effectiveness of the hate speech </w:t>
      </w:r>
      <w:r w:rsidR="004114D4" w:rsidRPr="004033B1">
        <w:rPr>
          <w:lang w:val="en-US"/>
        </w:rPr>
        <w:t>prohibition</w:t>
      </w:r>
      <w:r w:rsidRPr="004033B1">
        <w:rPr>
          <w:lang w:val="en-US"/>
        </w:rPr>
        <w:t xml:space="preserve"> as, they claim, the bans did not stop far right parties from acquiring public support in many European countries</w:t>
      </w:r>
      <w:r w:rsidR="004114D4" w:rsidRPr="004033B1">
        <w:rPr>
          <w:lang w:val="en-US"/>
        </w:rPr>
        <w:t>.</w:t>
      </w:r>
      <w:r w:rsidR="000F0A04">
        <w:rPr>
          <w:rStyle w:val="FootnoteReference"/>
          <w:lang w:val="en-US"/>
        </w:rPr>
        <w:footnoteReference w:id="23"/>
      </w:r>
      <w:r w:rsidR="004114D4" w:rsidRPr="004033B1">
        <w:rPr>
          <w:lang w:val="en-US"/>
        </w:rPr>
        <w:t xml:space="preserve"> </w:t>
      </w:r>
      <w:r w:rsidR="00373B6B" w:rsidRPr="004033B1">
        <w:rPr>
          <w:lang w:val="en-US"/>
        </w:rPr>
        <w:t>To support their stance, th</w:t>
      </w:r>
      <w:r w:rsidR="004114D4" w:rsidRPr="004033B1">
        <w:rPr>
          <w:lang w:val="en-US"/>
        </w:rPr>
        <w:t>e authors</w:t>
      </w:r>
      <w:r w:rsidR="00373B6B" w:rsidRPr="004033B1">
        <w:rPr>
          <w:lang w:val="en-US"/>
        </w:rPr>
        <w:t xml:space="preserve"> offered </w:t>
      </w:r>
      <w:r w:rsidRPr="004033B1">
        <w:rPr>
          <w:lang w:val="en-US"/>
        </w:rPr>
        <w:t xml:space="preserve">several </w:t>
      </w:r>
      <w:r w:rsidR="00373B6B" w:rsidRPr="004033B1">
        <w:rPr>
          <w:lang w:val="en-US"/>
        </w:rPr>
        <w:t xml:space="preserve">examples </w:t>
      </w:r>
      <w:r w:rsidR="004114D4" w:rsidRPr="004033B1">
        <w:rPr>
          <w:lang w:val="en-US"/>
        </w:rPr>
        <w:t xml:space="preserve">testifying that in hate speech cases </w:t>
      </w:r>
      <w:r w:rsidRPr="004033B1">
        <w:rPr>
          <w:lang w:val="en-US"/>
        </w:rPr>
        <w:t xml:space="preserve">it was either hard to draw the line between permissible and impermissible speech or </w:t>
      </w:r>
      <w:r w:rsidR="00373B6B" w:rsidRPr="004033B1">
        <w:rPr>
          <w:lang w:val="en-US"/>
        </w:rPr>
        <w:t>policing hate speech was based on the shaky grounds (</w:t>
      </w:r>
      <w:r w:rsidR="004114D4" w:rsidRPr="004033B1">
        <w:rPr>
          <w:i/>
          <w:iCs/>
          <w:lang w:val="en-US"/>
        </w:rPr>
        <w:t>e.g.</w:t>
      </w:r>
      <w:r w:rsidR="004114D4" w:rsidRPr="004033B1">
        <w:rPr>
          <w:lang w:val="en-US"/>
        </w:rPr>
        <w:t xml:space="preserve"> </w:t>
      </w:r>
      <w:r w:rsidR="00373B6B" w:rsidRPr="004033B1">
        <w:rPr>
          <w:lang w:val="en-US"/>
        </w:rPr>
        <w:t>the charge against Bob Dylan for comparing Serb attitudes towards Croats with Jewish attitudes toward Nazis)</w:t>
      </w:r>
      <w:r w:rsidR="00B91A32" w:rsidRPr="004033B1">
        <w:rPr>
          <w:lang w:val="en-US"/>
        </w:rPr>
        <w:t>.</w:t>
      </w:r>
      <w:r w:rsidR="00373B6B" w:rsidRPr="004033B1">
        <w:rPr>
          <w:lang w:val="en-US"/>
        </w:rPr>
        <w:t xml:space="preserve"> </w:t>
      </w:r>
      <w:r w:rsidR="000F0A04">
        <w:rPr>
          <w:rStyle w:val="FootnoteReference"/>
          <w:lang w:val="en-US"/>
        </w:rPr>
        <w:footnoteReference w:id="24"/>
      </w:r>
    </w:p>
    <w:p w14:paraId="5E86C7D4" w14:textId="2E71768F" w:rsidR="0090796B" w:rsidRPr="004033B1" w:rsidRDefault="00740D02" w:rsidP="0090796B">
      <w:pPr>
        <w:autoSpaceDE w:val="0"/>
        <w:autoSpaceDN w:val="0"/>
        <w:adjustRightInd w:val="0"/>
        <w:spacing w:line="360" w:lineRule="auto"/>
        <w:ind w:firstLine="720"/>
        <w:jc w:val="both"/>
        <w:rPr>
          <w:lang w:val="en-US"/>
        </w:rPr>
      </w:pPr>
      <w:r>
        <w:rPr>
          <w:lang w:val="en-US"/>
        </w:rPr>
        <w:t>S</w:t>
      </w:r>
      <w:r w:rsidRPr="004033B1">
        <w:rPr>
          <w:lang w:val="en-US"/>
        </w:rPr>
        <w:t>ubsequently</w:t>
      </w:r>
      <w:r>
        <w:rPr>
          <w:lang w:val="en-US"/>
        </w:rPr>
        <w:t>, i</w:t>
      </w:r>
      <w:r w:rsidR="004201DC" w:rsidRPr="004033B1">
        <w:rPr>
          <w:lang w:val="en-US"/>
        </w:rPr>
        <w:t>n</w:t>
      </w:r>
      <w:r w:rsidR="00451861" w:rsidRPr="004033B1">
        <w:rPr>
          <w:lang w:val="en-US"/>
        </w:rPr>
        <w:t xml:space="preserve"> the</w:t>
      </w:r>
      <w:r>
        <w:rPr>
          <w:lang w:val="en-US"/>
        </w:rPr>
        <w:t xml:space="preserve"> </w:t>
      </w:r>
      <w:r w:rsidR="00451861" w:rsidRPr="004033B1">
        <w:rPr>
          <w:lang w:val="en-US"/>
        </w:rPr>
        <w:t>blog devoted to democratic erosion and militant democracy</w:t>
      </w:r>
      <w:r w:rsidR="004114D4" w:rsidRPr="004033B1">
        <w:rPr>
          <w:lang w:val="en-US"/>
        </w:rPr>
        <w:t>,</w:t>
      </w:r>
      <w:r w:rsidR="00451861" w:rsidRPr="004033B1">
        <w:rPr>
          <w:lang w:val="en-US"/>
        </w:rPr>
        <w:t xml:space="preserve"> </w:t>
      </w:r>
      <w:r w:rsidR="004114D4" w:rsidRPr="004033B1">
        <w:rPr>
          <w:lang w:val="en-US"/>
        </w:rPr>
        <w:t xml:space="preserve">Ginsburg and Huq </w:t>
      </w:r>
      <w:r>
        <w:rPr>
          <w:lang w:val="en-US"/>
        </w:rPr>
        <w:t xml:space="preserve">have </w:t>
      </w:r>
      <w:r w:rsidR="000A35BE" w:rsidRPr="004033B1">
        <w:rPr>
          <w:lang w:val="en-US"/>
        </w:rPr>
        <w:t xml:space="preserve">fortified </w:t>
      </w:r>
      <w:r w:rsidR="00451861" w:rsidRPr="004033B1">
        <w:rPr>
          <w:lang w:val="en-US"/>
        </w:rPr>
        <w:t xml:space="preserve"> their view that </w:t>
      </w:r>
      <w:r w:rsidR="000A35BE" w:rsidRPr="004033B1">
        <w:rPr>
          <w:lang w:val="en-US"/>
        </w:rPr>
        <w:t xml:space="preserve">constitutionally designed </w:t>
      </w:r>
      <w:r w:rsidR="00451861" w:rsidRPr="004033B1">
        <w:rPr>
          <w:lang w:val="en-US"/>
        </w:rPr>
        <w:t>militant democracy</w:t>
      </w:r>
      <w:r w:rsidR="000A35BE" w:rsidRPr="004033B1">
        <w:rPr>
          <w:lang w:val="en-US"/>
        </w:rPr>
        <w:t xml:space="preserve"> cannot save democracy. On the contrary, “</w:t>
      </w:r>
      <w:r w:rsidR="004201DC" w:rsidRPr="004033B1">
        <w:rPr>
          <w:lang w:val="en-US"/>
        </w:rPr>
        <w:t xml:space="preserve">militant democracy may </w:t>
      </w:r>
      <w:r w:rsidR="000A35BE" w:rsidRPr="004033B1">
        <w:rPr>
          <w:lang w:val="en-US"/>
        </w:rPr>
        <w:t>preserved the ballot but reinforce the illiberal strands for policy making</w:t>
      </w:r>
      <w:r w:rsidR="004201DC" w:rsidRPr="004033B1">
        <w:rPr>
          <w:lang w:val="en-US"/>
        </w:rPr>
        <w:t xml:space="preserve">,” they </w:t>
      </w:r>
      <w:r w:rsidR="00D306B9">
        <w:rPr>
          <w:lang w:val="en-US"/>
        </w:rPr>
        <w:t>claim</w:t>
      </w:r>
      <w:r w:rsidR="004201DC" w:rsidRPr="004033B1">
        <w:rPr>
          <w:lang w:val="en-US"/>
        </w:rPr>
        <w:t>.</w:t>
      </w:r>
      <w:r w:rsidR="000F0A04">
        <w:rPr>
          <w:rStyle w:val="FootnoteReference"/>
          <w:lang w:val="en-US"/>
        </w:rPr>
        <w:footnoteReference w:id="25"/>
      </w:r>
      <w:r w:rsidR="004201DC" w:rsidRPr="004033B1">
        <w:rPr>
          <w:lang w:val="en-US"/>
        </w:rPr>
        <w:t xml:space="preserve"> </w:t>
      </w:r>
    </w:p>
    <w:p w14:paraId="668B5F00" w14:textId="50122270" w:rsidR="00CF45AB" w:rsidRPr="004033B1" w:rsidRDefault="00321DF5" w:rsidP="007C6550">
      <w:pPr>
        <w:autoSpaceDE w:val="0"/>
        <w:autoSpaceDN w:val="0"/>
        <w:adjustRightInd w:val="0"/>
        <w:spacing w:line="360" w:lineRule="auto"/>
        <w:ind w:firstLine="720"/>
        <w:jc w:val="both"/>
        <w:rPr>
          <w:rFonts w:eastAsiaTheme="minorHAnsi"/>
          <w:lang w:val="en-US" w:eastAsia="en-US"/>
        </w:rPr>
      </w:pPr>
      <w:r w:rsidRPr="004033B1">
        <w:rPr>
          <w:rFonts w:eastAsiaTheme="minorHAnsi"/>
          <w:lang w:val="en-US" w:eastAsia="en-US"/>
        </w:rPr>
        <w:t xml:space="preserve">I find Ginsburg and Huq to be on the wrong track. To </w:t>
      </w:r>
      <w:r w:rsidR="00D306B9">
        <w:rPr>
          <w:rFonts w:eastAsiaTheme="minorHAnsi"/>
          <w:lang w:val="en-US" w:eastAsia="en-US"/>
        </w:rPr>
        <w:t>put my views</w:t>
      </w:r>
      <w:r w:rsidR="00D306B9" w:rsidRPr="004033B1">
        <w:rPr>
          <w:rFonts w:eastAsiaTheme="minorHAnsi"/>
          <w:lang w:val="en-US" w:eastAsia="en-US"/>
        </w:rPr>
        <w:t xml:space="preserve"> </w:t>
      </w:r>
      <w:r w:rsidRPr="004033B1">
        <w:rPr>
          <w:rFonts w:eastAsiaTheme="minorHAnsi"/>
          <w:lang w:val="en-US" w:eastAsia="en-US"/>
        </w:rPr>
        <w:t xml:space="preserve">into perspective, I should first explain how militant democracy differs from other phenomena </w:t>
      </w:r>
      <w:r w:rsidR="00751623" w:rsidRPr="004033B1">
        <w:rPr>
          <w:rFonts w:eastAsiaTheme="minorHAnsi"/>
          <w:lang w:val="en-US" w:eastAsia="en-US"/>
        </w:rPr>
        <w:t xml:space="preserve">that </w:t>
      </w:r>
      <w:r w:rsidRPr="004033B1">
        <w:rPr>
          <w:rFonts w:eastAsiaTheme="minorHAnsi"/>
          <w:lang w:val="en-US" w:eastAsia="en-US"/>
        </w:rPr>
        <w:t>it is often associated</w:t>
      </w:r>
      <w:r w:rsidR="00751623" w:rsidRPr="004033B1">
        <w:rPr>
          <w:rFonts w:eastAsiaTheme="minorHAnsi"/>
          <w:lang w:val="en-US" w:eastAsia="en-US"/>
        </w:rPr>
        <w:t xml:space="preserve"> with</w:t>
      </w:r>
      <w:r w:rsidRPr="004033B1">
        <w:rPr>
          <w:rFonts w:eastAsiaTheme="minorHAnsi"/>
          <w:lang w:val="en-US" w:eastAsia="en-US"/>
        </w:rPr>
        <w:t>, particularly with a “counter-terror state”</w:t>
      </w:r>
      <w:r w:rsidR="001943B5" w:rsidRPr="004033B1">
        <w:rPr>
          <w:rFonts w:eastAsiaTheme="minorHAnsi"/>
          <w:lang w:val="en-US" w:eastAsia="en-US"/>
        </w:rPr>
        <w:t>,</w:t>
      </w:r>
      <w:r w:rsidRPr="004033B1">
        <w:rPr>
          <w:rFonts w:eastAsiaTheme="minorHAnsi"/>
          <w:lang w:val="en-US" w:eastAsia="en-US"/>
        </w:rPr>
        <w:t xml:space="preserve"> </w:t>
      </w:r>
      <w:r w:rsidR="00751623" w:rsidRPr="004033B1">
        <w:rPr>
          <w:rFonts w:eastAsiaTheme="minorHAnsi"/>
          <w:lang w:val="en-US" w:eastAsia="en-US"/>
        </w:rPr>
        <w:t xml:space="preserve">the emergency powers and  </w:t>
      </w:r>
      <w:r w:rsidRPr="004033B1">
        <w:rPr>
          <w:rFonts w:eastAsiaTheme="minorHAnsi"/>
          <w:lang w:val="en-US" w:eastAsia="en-US"/>
        </w:rPr>
        <w:t>“</w:t>
      </w:r>
      <w:r w:rsidR="00751623" w:rsidRPr="004033B1">
        <w:rPr>
          <w:rFonts w:eastAsiaTheme="minorHAnsi"/>
          <w:lang w:val="en-US" w:eastAsia="en-US"/>
        </w:rPr>
        <w:t>ide</w:t>
      </w:r>
      <w:r w:rsidR="000A1B34">
        <w:rPr>
          <w:rFonts w:eastAsiaTheme="minorHAnsi"/>
          <w:lang w:val="en-US" w:eastAsia="en-US"/>
        </w:rPr>
        <w:t>ntitarian democracy</w:t>
      </w:r>
      <w:r w:rsidR="00570B4E">
        <w:rPr>
          <w:rFonts w:eastAsiaTheme="minorHAnsi"/>
          <w:lang w:val="en-US" w:eastAsia="en-US"/>
        </w:rPr>
        <w:t>.</w:t>
      </w:r>
      <w:r w:rsidRPr="004033B1">
        <w:rPr>
          <w:rFonts w:eastAsiaTheme="minorHAnsi"/>
          <w:lang w:val="en-US" w:eastAsia="en-US"/>
        </w:rPr>
        <w:t>”</w:t>
      </w:r>
      <w:r w:rsidR="00751623" w:rsidRPr="004033B1">
        <w:rPr>
          <w:rFonts w:eastAsiaTheme="minorHAnsi"/>
          <w:lang w:val="en-US" w:eastAsia="en-US"/>
        </w:rPr>
        <w:t xml:space="preserve"> </w:t>
      </w:r>
    </w:p>
    <w:p w14:paraId="58900995" w14:textId="07813677" w:rsidR="00CF45AB" w:rsidRPr="004033B1" w:rsidRDefault="00AF7CE7" w:rsidP="00586838">
      <w:pPr>
        <w:rPr>
          <w:rFonts w:eastAsiaTheme="minorHAnsi"/>
          <w:lang w:val="en-US" w:eastAsia="en-US"/>
        </w:rPr>
      </w:pPr>
      <w:r>
        <w:rPr>
          <w:rFonts w:eastAsiaTheme="minorHAnsi"/>
          <w:lang w:val="en-US" w:eastAsia="en-US"/>
        </w:rPr>
        <w:br w:type="page"/>
      </w:r>
    </w:p>
    <w:p w14:paraId="29050099" w14:textId="5B5B0664" w:rsidR="005059C2" w:rsidRPr="004033B1" w:rsidRDefault="00A57D25" w:rsidP="00CF45AB">
      <w:pPr>
        <w:autoSpaceDE w:val="0"/>
        <w:autoSpaceDN w:val="0"/>
        <w:adjustRightInd w:val="0"/>
        <w:spacing w:line="360" w:lineRule="auto"/>
        <w:jc w:val="both"/>
        <w:rPr>
          <w:rFonts w:eastAsiaTheme="minorHAnsi"/>
          <w:lang w:val="en-US" w:eastAsia="en-US"/>
        </w:rPr>
      </w:pPr>
      <w:r>
        <w:rPr>
          <w:rFonts w:eastAsiaTheme="minorHAnsi"/>
          <w:b/>
          <w:bCs/>
          <w:lang w:val="en-US" w:eastAsia="en-US"/>
        </w:rPr>
        <w:lastRenderedPageBreak/>
        <w:t>2.</w:t>
      </w:r>
      <w:r w:rsidR="00321DF5" w:rsidRPr="004033B1">
        <w:rPr>
          <w:rFonts w:eastAsiaTheme="minorHAnsi"/>
          <w:lang w:val="en-US" w:eastAsia="en-US"/>
        </w:rPr>
        <w:t xml:space="preserve"> </w:t>
      </w:r>
      <w:r w:rsidR="00321DF5" w:rsidRPr="004033B1">
        <w:rPr>
          <w:rFonts w:eastAsiaTheme="minorHAnsi"/>
          <w:lang w:val="en-US" w:eastAsia="en-US"/>
        </w:rPr>
        <w:tab/>
      </w:r>
      <w:r w:rsidR="00321DF5" w:rsidRPr="004033B1">
        <w:rPr>
          <w:rFonts w:eastAsiaTheme="minorHAnsi"/>
          <w:b/>
          <w:bCs/>
          <w:lang w:val="en-US" w:eastAsia="en-US"/>
        </w:rPr>
        <w:t>WHAT MILITANT DEMOCRACY IS AND IS NOT</w:t>
      </w:r>
      <w:r w:rsidR="00321DF5" w:rsidRPr="004033B1">
        <w:rPr>
          <w:rFonts w:eastAsiaTheme="minorHAnsi"/>
          <w:lang w:val="en-US" w:eastAsia="en-US"/>
        </w:rPr>
        <w:t xml:space="preserve"> </w:t>
      </w:r>
    </w:p>
    <w:p w14:paraId="0B2126B4" w14:textId="77777777" w:rsidR="005059C2" w:rsidRPr="004033B1" w:rsidRDefault="005059C2" w:rsidP="00CF45AB">
      <w:pPr>
        <w:autoSpaceDE w:val="0"/>
        <w:autoSpaceDN w:val="0"/>
        <w:adjustRightInd w:val="0"/>
        <w:spacing w:line="360" w:lineRule="auto"/>
        <w:jc w:val="both"/>
        <w:rPr>
          <w:rFonts w:eastAsiaTheme="minorHAnsi"/>
          <w:lang w:val="en-US" w:eastAsia="en-US"/>
        </w:rPr>
      </w:pPr>
    </w:p>
    <w:p w14:paraId="0E08F658" w14:textId="62BFF8C7" w:rsidR="00CF45AB" w:rsidRPr="002037B6" w:rsidRDefault="00DD6A43" w:rsidP="002037B6">
      <w:pPr>
        <w:pStyle w:val="ListParagraph"/>
        <w:numPr>
          <w:ilvl w:val="1"/>
          <w:numId w:val="4"/>
        </w:numPr>
        <w:autoSpaceDE w:val="0"/>
        <w:autoSpaceDN w:val="0"/>
        <w:adjustRightInd w:val="0"/>
        <w:spacing w:line="360" w:lineRule="auto"/>
        <w:jc w:val="both"/>
        <w:rPr>
          <w:rFonts w:eastAsiaTheme="minorHAnsi"/>
          <w:b/>
          <w:bCs/>
          <w:lang w:val="en-US" w:eastAsia="en-US"/>
        </w:rPr>
      </w:pPr>
      <w:r>
        <w:rPr>
          <w:rFonts w:eastAsiaTheme="minorHAnsi"/>
          <w:b/>
          <w:bCs/>
          <w:lang w:val="en-US" w:eastAsia="en-US"/>
        </w:rPr>
        <w:t xml:space="preserve"> </w:t>
      </w:r>
      <w:r w:rsidR="00CF45AB" w:rsidRPr="002037B6">
        <w:rPr>
          <w:rFonts w:eastAsiaTheme="minorHAnsi"/>
          <w:b/>
          <w:bCs/>
          <w:lang w:val="en-US" w:eastAsia="en-US"/>
        </w:rPr>
        <w:t xml:space="preserve">What </w:t>
      </w:r>
      <w:r w:rsidR="00E16C06">
        <w:rPr>
          <w:rFonts w:eastAsiaTheme="minorHAnsi"/>
          <w:b/>
          <w:bCs/>
          <w:lang w:val="en-US" w:eastAsia="en-US"/>
        </w:rPr>
        <w:t xml:space="preserve">does </w:t>
      </w:r>
      <w:r w:rsidR="002037B6">
        <w:rPr>
          <w:rFonts w:eastAsiaTheme="minorHAnsi"/>
          <w:b/>
          <w:bCs/>
          <w:lang w:val="en-US" w:eastAsia="en-US"/>
        </w:rPr>
        <w:t>M</w:t>
      </w:r>
      <w:r w:rsidR="00CF45AB" w:rsidRPr="002037B6">
        <w:rPr>
          <w:rFonts w:eastAsiaTheme="minorHAnsi"/>
          <w:b/>
          <w:bCs/>
          <w:lang w:val="en-US" w:eastAsia="en-US"/>
        </w:rPr>
        <w:t xml:space="preserve">ilitant </w:t>
      </w:r>
      <w:r w:rsidR="002037B6">
        <w:rPr>
          <w:rFonts w:eastAsiaTheme="minorHAnsi"/>
          <w:b/>
          <w:bCs/>
          <w:lang w:val="en-US" w:eastAsia="en-US"/>
        </w:rPr>
        <w:t>D</w:t>
      </w:r>
      <w:r w:rsidR="00CF45AB" w:rsidRPr="002037B6">
        <w:rPr>
          <w:rFonts w:eastAsiaTheme="minorHAnsi"/>
          <w:b/>
          <w:bCs/>
          <w:lang w:val="en-US" w:eastAsia="en-US"/>
        </w:rPr>
        <w:t xml:space="preserve">emocracy </w:t>
      </w:r>
      <w:r w:rsidR="002037B6">
        <w:rPr>
          <w:rFonts w:eastAsiaTheme="minorHAnsi"/>
          <w:b/>
          <w:bCs/>
          <w:lang w:val="en-US" w:eastAsia="en-US"/>
        </w:rPr>
        <w:t>S</w:t>
      </w:r>
      <w:r w:rsidR="00CF45AB" w:rsidRPr="002037B6">
        <w:rPr>
          <w:rFonts w:eastAsiaTheme="minorHAnsi"/>
          <w:b/>
          <w:bCs/>
          <w:lang w:val="en-US" w:eastAsia="en-US"/>
        </w:rPr>
        <w:t xml:space="preserve">tand </w:t>
      </w:r>
      <w:r w:rsidR="002037B6">
        <w:rPr>
          <w:rFonts w:eastAsiaTheme="minorHAnsi"/>
          <w:b/>
          <w:bCs/>
          <w:lang w:val="en-US" w:eastAsia="en-US"/>
        </w:rPr>
        <w:t>F</w:t>
      </w:r>
      <w:r w:rsidR="00CF45AB" w:rsidRPr="002037B6">
        <w:rPr>
          <w:rFonts w:eastAsiaTheme="minorHAnsi"/>
          <w:b/>
          <w:bCs/>
          <w:lang w:val="en-US" w:eastAsia="en-US"/>
        </w:rPr>
        <w:t>or?</w:t>
      </w:r>
    </w:p>
    <w:p w14:paraId="071B5F19" w14:textId="77777777" w:rsidR="005059C2" w:rsidRPr="004033B1" w:rsidRDefault="005059C2" w:rsidP="005059C2">
      <w:pPr>
        <w:pStyle w:val="ListParagraph"/>
        <w:autoSpaceDE w:val="0"/>
        <w:autoSpaceDN w:val="0"/>
        <w:adjustRightInd w:val="0"/>
        <w:spacing w:line="360" w:lineRule="auto"/>
        <w:jc w:val="both"/>
        <w:rPr>
          <w:rFonts w:eastAsiaTheme="minorHAnsi"/>
          <w:i/>
          <w:iCs/>
          <w:lang w:val="en-US" w:eastAsia="en-US"/>
        </w:rPr>
      </w:pPr>
    </w:p>
    <w:p w14:paraId="20DA67AE" w14:textId="7E7B24E9" w:rsidR="00EF402D" w:rsidRPr="004033B1" w:rsidRDefault="001E7ADB" w:rsidP="00EF402D">
      <w:pPr>
        <w:autoSpaceDE w:val="0"/>
        <w:autoSpaceDN w:val="0"/>
        <w:adjustRightInd w:val="0"/>
        <w:spacing w:line="360" w:lineRule="auto"/>
        <w:ind w:firstLine="720"/>
        <w:jc w:val="both"/>
        <w:rPr>
          <w:rFonts w:eastAsiaTheme="minorHAnsi"/>
          <w:lang w:val="en-US" w:eastAsia="en-US"/>
        </w:rPr>
      </w:pPr>
      <w:r w:rsidRPr="004033B1">
        <w:rPr>
          <w:rFonts w:eastAsiaTheme="minorHAnsi"/>
          <w:lang w:val="en-US" w:eastAsia="en-US"/>
        </w:rPr>
        <w:t xml:space="preserve">Ginsburg and Huq are right when they claim that militant democracy deals with internal threats aimed to </w:t>
      </w:r>
      <w:r w:rsidR="006E355B" w:rsidRPr="004033B1">
        <w:rPr>
          <w:rFonts w:eastAsiaTheme="minorHAnsi"/>
          <w:lang w:val="en-US" w:eastAsia="en-US"/>
        </w:rPr>
        <w:t>destroy it</w:t>
      </w:r>
      <w:r w:rsidR="00C55D0D" w:rsidRPr="004033B1">
        <w:rPr>
          <w:rFonts w:eastAsiaTheme="minorHAnsi"/>
          <w:lang w:val="en-US" w:eastAsia="en-US"/>
        </w:rPr>
        <w:t xml:space="preserve"> with the constitutionally instituted legal measures</w:t>
      </w:r>
      <w:r w:rsidR="006E355B" w:rsidRPr="004033B1">
        <w:rPr>
          <w:rFonts w:eastAsiaTheme="minorHAnsi"/>
          <w:lang w:val="en-US" w:eastAsia="en-US"/>
        </w:rPr>
        <w:t>. As</w:t>
      </w:r>
      <w:r w:rsidR="006F36C4">
        <w:rPr>
          <w:rFonts w:eastAsiaTheme="minorHAnsi"/>
          <w:lang w:val="en-US" w:eastAsia="en-US"/>
        </w:rPr>
        <w:t xml:space="preserve"> Otto</w:t>
      </w:r>
      <w:r w:rsidR="006E355B" w:rsidRPr="004033B1">
        <w:rPr>
          <w:rFonts w:eastAsiaTheme="minorHAnsi"/>
          <w:lang w:val="en-US" w:eastAsia="en-US"/>
        </w:rPr>
        <w:t xml:space="preserve"> </w:t>
      </w:r>
      <w:proofErr w:type="spellStart"/>
      <w:r w:rsidR="006E355B" w:rsidRPr="004033B1">
        <w:rPr>
          <w:rFonts w:eastAsiaTheme="minorHAnsi"/>
          <w:lang w:val="en-US" w:eastAsia="en-US"/>
        </w:rPr>
        <w:t>Pfersmann</w:t>
      </w:r>
      <w:proofErr w:type="spellEnd"/>
      <w:r w:rsidR="006E355B" w:rsidRPr="004033B1">
        <w:rPr>
          <w:rFonts w:eastAsiaTheme="minorHAnsi"/>
          <w:lang w:val="en-US" w:eastAsia="en-US"/>
        </w:rPr>
        <w:t xml:space="preserve"> </w:t>
      </w:r>
      <w:r w:rsidR="007654C5" w:rsidRPr="004033B1">
        <w:rPr>
          <w:rFonts w:eastAsiaTheme="minorHAnsi"/>
          <w:lang w:val="en-US" w:eastAsia="en-US"/>
        </w:rPr>
        <w:t xml:space="preserve">notes, </w:t>
      </w:r>
      <w:r w:rsidR="006E355B" w:rsidRPr="004033B1">
        <w:rPr>
          <w:rFonts w:eastAsiaTheme="minorHAnsi"/>
          <w:lang w:val="en-US" w:eastAsia="en-US"/>
        </w:rPr>
        <w:t xml:space="preserve">the </w:t>
      </w:r>
      <w:r w:rsidR="007654C5" w:rsidRPr="004033B1">
        <w:rPr>
          <w:rFonts w:eastAsiaTheme="minorHAnsi"/>
          <w:lang w:val="en-US" w:eastAsia="en-US"/>
        </w:rPr>
        <w:t>difficulty</w:t>
      </w:r>
      <w:r w:rsidR="006E355B" w:rsidRPr="004033B1">
        <w:rPr>
          <w:rFonts w:eastAsiaTheme="minorHAnsi"/>
          <w:lang w:val="en-US" w:eastAsia="en-US"/>
        </w:rPr>
        <w:t xml:space="preserve"> of stabilizing governments was first </w:t>
      </w:r>
      <w:r w:rsidR="007654C5" w:rsidRPr="004033B1">
        <w:rPr>
          <w:rFonts w:eastAsiaTheme="minorHAnsi"/>
          <w:lang w:val="en-US" w:eastAsia="en-US"/>
        </w:rPr>
        <w:t xml:space="preserve">thoroughly </w:t>
      </w:r>
      <w:r w:rsidR="006E355B" w:rsidRPr="004033B1">
        <w:rPr>
          <w:rFonts w:eastAsiaTheme="minorHAnsi"/>
          <w:lang w:val="en-US" w:eastAsia="en-US"/>
        </w:rPr>
        <w:t xml:space="preserve">discussed by Plato in </w:t>
      </w:r>
      <w:r w:rsidR="006E355B" w:rsidRPr="004033B1">
        <w:rPr>
          <w:rFonts w:eastAsiaTheme="minorHAnsi"/>
          <w:i/>
          <w:iCs/>
          <w:lang w:val="en-US" w:eastAsia="en-US"/>
        </w:rPr>
        <w:t>The Republic</w:t>
      </w:r>
      <w:r w:rsidR="007654C5" w:rsidRPr="004033B1">
        <w:rPr>
          <w:rFonts w:eastAsiaTheme="minorHAnsi"/>
          <w:lang w:val="en-US" w:eastAsia="en-US"/>
        </w:rPr>
        <w:t>,</w:t>
      </w:r>
      <w:r w:rsidR="006F36C4">
        <w:rPr>
          <w:rStyle w:val="FootnoteReference"/>
          <w:rFonts w:eastAsiaTheme="minorHAnsi"/>
          <w:lang w:val="en-US" w:eastAsia="en-US"/>
        </w:rPr>
        <w:footnoteReference w:id="26"/>
      </w:r>
      <w:r w:rsidR="007654C5" w:rsidRPr="004033B1">
        <w:rPr>
          <w:rFonts w:eastAsiaTheme="minorHAnsi"/>
          <w:lang w:val="en-US" w:eastAsia="en-US"/>
        </w:rPr>
        <w:t xml:space="preserve"> but the problem came into focus with the rise of fascism in the XX century Europe. It was the German émigré scholar Karl Loewenstein who used the term “militant democracy” (</w:t>
      </w:r>
      <w:proofErr w:type="spellStart"/>
      <w:r w:rsidR="007654C5" w:rsidRPr="004033B1">
        <w:rPr>
          <w:rFonts w:eastAsiaTheme="minorHAnsi"/>
          <w:lang w:val="en-US" w:eastAsia="en-US"/>
        </w:rPr>
        <w:t>Streitbare</w:t>
      </w:r>
      <w:proofErr w:type="spellEnd"/>
      <w:r w:rsidR="007654C5" w:rsidRPr="004033B1">
        <w:rPr>
          <w:rFonts w:eastAsiaTheme="minorHAnsi"/>
          <w:lang w:val="en-US" w:eastAsia="en-US"/>
        </w:rPr>
        <w:t xml:space="preserve"> </w:t>
      </w:r>
      <w:proofErr w:type="spellStart"/>
      <w:r w:rsidR="007654C5" w:rsidRPr="004033B1">
        <w:rPr>
          <w:rFonts w:eastAsiaTheme="minorHAnsi"/>
          <w:lang w:val="en-US" w:eastAsia="en-US"/>
        </w:rPr>
        <w:t>Demokratie</w:t>
      </w:r>
      <w:proofErr w:type="spellEnd"/>
      <w:r w:rsidR="007654C5" w:rsidRPr="004033B1">
        <w:rPr>
          <w:rFonts w:eastAsiaTheme="minorHAnsi"/>
          <w:lang w:val="en-US" w:eastAsia="en-US"/>
        </w:rPr>
        <w:t xml:space="preserve">) to argue that some democratic regimes in post-World War I Europe, including the Weimer Republic, either lacked or failed to use </w:t>
      </w:r>
      <w:r w:rsidR="00AF732B" w:rsidRPr="004033B1">
        <w:rPr>
          <w:rFonts w:eastAsiaTheme="minorHAnsi"/>
          <w:lang w:val="en-US" w:eastAsia="en-US"/>
        </w:rPr>
        <w:t xml:space="preserve">legal </w:t>
      </w:r>
      <w:r w:rsidR="007654C5" w:rsidRPr="004033B1">
        <w:rPr>
          <w:rFonts w:eastAsiaTheme="minorHAnsi"/>
          <w:lang w:val="en-US" w:eastAsia="en-US"/>
        </w:rPr>
        <w:t xml:space="preserve">defensive measures against </w:t>
      </w:r>
      <w:r w:rsidR="006C67C5" w:rsidRPr="004033B1">
        <w:rPr>
          <w:rFonts w:eastAsiaTheme="minorHAnsi"/>
          <w:lang w:val="en-US" w:eastAsia="en-US"/>
        </w:rPr>
        <w:t xml:space="preserve">fascist emotional techniques </w:t>
      </w:r>
      <w:r w:rsidR="00023684" w:rsidRPr="004033B1">
        <w:rPr>
          <w:rFonts w:eastAsiaTheme="minorHAnsi"/>
          <w:lang w:val="en-US" w:eastAsia="en-US"/>
        </w:rPr>
        <w:t xml:space="preserve">of exploiting democratic instrumentalities for their own destruction. </w:t>
      </w:r>
      <w:r w:rsidR="006F36C4">
        <w:rPr>
          <w:rStyle w:val="FootnoteReference"/>
          <w:rFonts w:eastAsiaTheme="minorHAnsi"/>
          <w:lang w:val="en-US" w:eastAsia="en-US"/>
        </w:rPr>
        <w:footnoteReference w:id="27"/>
      </w:r>
      <w:r w:rsidR="00023684" w:rsidRPr="004033B1">
        <w:rPr>
          <w:rFonts w:eastAsiaTheme="minorHAnsi"/>
          <w:lang w:val="en-US" w:eastAsia="en-US"/>
        </w:rPr>
        <w:t>Loewenstein showed that it was “</w:t>
      </w:r>
      <w:r w:rsidR="006A34AC" w:rsidRPr="004033B1">
        <w:rPr>
          <w:rFonts w:eastAsiaTheme="minorHAnsi"/>
          <w:lang w:val="en-US" w:eastAsia="en-US"/>
        </w:rPr>
        <w:t>the exaggerated formalism of the rule of law which under the enchantment of formal equality does not see fit to exclude from the game parties that deny the very existence of its rules.”</w:t>
      </w:r>
      <w:r w:rsidR="006F36C4">
        <w:rPr>
          <w:rStyle w:val="FootnoteReference"/>
          <w:rFonts w:eastAsiaTheme="minorHAnsi"/>
          <w:lang w:val="en-US" w:eastAsia="en-US"/>
        </w:rPr>
        <w:footnoteReference w:id="28"/>
      </w:r>
      <w:r w:rsidR="006A34AC" w:rsidRPr="004033B1">
        <w:rPr>
          <w:rFonts w:eastAsiaTheme="minorHAnsi"/>
          <w:lang w:val="en-US" w:eastAsia="en-US"/>
        </w:rPr>
        <w:t xml:space="preserve"> </w:t>
      </w:r>
      <w:r w:rsidR="00AF732B" w:rsidRPr="004033B1">
        <w:rPr>
          <w:rFonts w:eastAsiaTheme="minorHAnsi"/>
          <w:lang w:val="en-US" w:eastAsia="en-US"/>
        </w:rPr>
        <w:t xml:space="preserve">To ensure democracy’s survival, </w:t>
      </w:r>
      <w:r w:rsidR="00A85CB5" w:rsidRPr="004033B1">
        <w:rPr>
          <w:rFonts w:eastAsiaTheme="minorHAnsi"/>
          <w:lang w:val="en-US" w:eastAsia="en-US"/>
        </w:rPr>
        <w:t xml:space="preserve">Loewenstein suggested that </w:t>
      </w:r>
      <w:r w:rsidR="00AF732B" w:rsidRPr="004033B1">
        <w:rPr>
          <w:rFonts w:eastAsiaTheme="minorHAnsi"/>
          <w:lang w:val="en-US" w:eastAsia="en-US"/>
        </w:rPr>
        <w:t>democracy</w:t>
      </w:r>
      <w:r w:rsidR="00A85CB5" w:rsidRPr="004033B1">
        <w:rPr>
          <w:rFonts w:eastAsiaTheme="minorHAnsi"/>
          <w:lang w:val="en-US" w:eastAsia="en-US"/>
        </w:rPr>
        <w:t xml:space="preserve"> had to</w:t>
      </w:r>
      <w:r w:rsidR="00AF732B" w:rsidRPr="004033B1">
        <w:rPr>
          <w:rFonts w:eastAsiaTheme="minorHAnsi"/>
          <w:lang w:val="en-US" w:eastAsia="en-US"/>
        </w:rPr>
        <w:t xml:space="preserve"> restrain it</w:t>
      </w:r>
      <w:r w:rsidR="003F1CDE" w:rsidRPr="004033B1">
        <w:rPr>
          <w:rFonts w:eastAsiaTheme="minorHAnsi"/>
          <w:lang w:val="en-US" w:eastAsia="en-US"/>
        </w:rPr>
        <w:t>s</w:t>
      </w:r>
      <w:r w:rsidR="00AF732B" w:rsidRPr="004033B1">
        <w:rPr>
          <w:rFonts w:eastAsiaTheme="minorHAnsi"/>
          <w:lang w:val="en-US" w:eastAsia="en-US"/>
        </w:rPr>
        <w:t xml:space="preserve"> suicidal nature </w:t>
      </w:r>
      <w:r w:rsidR="00A85CB5" w:rsidRPr="004033B1">
        <w:rPr>
          <w:rFonts w:eastAsiaTheme="minorHAnsi"/>
          <w:lang w:val="en-US" w:eastAsia="en-US"/>
        </w:rPr>
        <w:t>and</w:t>
      </w:r>
      <w:r w:rsidR="003F1695" w:rsidRPr="004033B1">
        <w:rPr>
          <w:rFonts w:eastAsiaTheme="minorHAnsi"/>
          <w:lang w:val="en-US" w:eastAsia="en-US"/>
        </w:rPr>
        <w:t xml:space="preserve"> </w:t>
      </w:r>
      <w:r w:rsidR="00A85CB5" w:rsidRPr="004033B1">
        <w:rPr>
          <w:rFonts w:eastAsiaTheme="minorHAnsi"/>
          <w:lang w:val="en-US" w:eastAsia="en-US"/>
        </w:rPr>
        <w:t xml:space="preserve">rise to militancy. </w:t>
      </w:r>
      <w:r w:rsidR="00BC3A6D">
        <w:rPr>
          <w:rFonts w:eastAsiaTheme="minorHAnsi"/>
          <w:lang w:val="en-US" w:eastAsia="en-US"/>
        </w:rPr>
        <w:t>The constitutional democracies, he argued,</w:t>
      </w:r>
      <w:r w:rsidR="00A85CB5" w:rsidRPr="004033B1">
        <w:rPr>
          <w:rFonts w:eastAsiaTheme="minorHAnsi"/>
          <w:lang w:val="en-US" w:eastAsia="en-US"/>
        </w:rPr>
        <w:t xml:space="preserve"> should </w:t>
      </w:r>
      <w:r w:rsidR="00BC3A6D">
        <w:rPr>
          <w:rFonts w:eastAsiaTheme="minorHAnsi"/>
          <w:lang w:val="en-US" w:eastAsia="en-US"/>
        </w:rPr>
        <w:t xml:space="preserve">have </w:t>
      </w:r>
      <w:r w:rsidR="00A85CB5" w:rsidRPr="004033B1">
        <w:rPr>
          <w:rFonts w:eastAsiaTheme="minorHAnsi"/>
          <w:lang w:val="en-US" w:eastAsia="en-US"/>
        </w:rPr>
        <w:t>develop</w:t>
      </w:r>
      <w:r w:rsidR="00BC3A6D">
        <w:rPr>
          <w:rFonts w:eastAsiaTheme="minorHAnsi"/>
          <w:lang w:val="en-US" w:eastAsia="en-US"/>
        </w:rPr>
        <w:t>ed</w:t>
      </w:r>
      <w:r w:rsidR="00A85CB5" w:rsidRPr="004033B1">
        <w:rPr>
          <w:rFonts w:eastAsiaTheme="minorHAnsi"/>
          <w:lang w:val="en-US" w:eastAsia="en-US"/>
        </w:rPr>
        <w:t xml:space="preserve"> anti-extremist legislation that would prohibit anti-democratic parties and limit other civil liberties from which the fascists benefited, including the freedom of speech, freedom of assembly, and the freedom of association.</w:t>
      </w:r>
      <w:r w:rsidR="006F36C4">
        <w:rPr>
          <w:rStyle w:val="FootnoteReference"/>
          <w:rFonts w:eastAsiaTheme="minorHAnsi"/>
          <w:lang w:val="en-US" w:eastAsia="en-US"/>
        </w:rPr>
        <w:footnoteReference w:id="29"/>
      </w:r>
      <w:r w:rsidR="00A85CB5" w:rsidRPr="004033B1">
        <w:rPr>
          <w:rFonts w:eastAsiaTheme="minorHAnsi"/>
          <w:lang w:val="en-US" w:eastAsia="en-US"/>
        </w:rPr>
        <w:t xml:space="preserve"> </w:t>
      </w:r>
    </w:p>
    <w:p w14:paraId="49DCEFF2" w14:textId="12C3BAC0" w:rsidR="00AB2101" w:rsidRPr="004033B1" w:rsidRDefault="00AB2101" w:rsidP="006C30B1">
      <w:pPr>
        <w:autoSpaceDE w:val="0"/>
        <w:autoSpaceDN w:val="0"/>
        <w:adjustRightInd w:val="0"/>
        <w:spacing w:line="360" w:lineRule="auto"/>
        <w:ind w:firstLine="720"/>
        <w:jc w:val="both"/>
        <w:rPr>
          <w:lang w:val="en-US"/>
        </w:rPr>
      </w:pPr>
      <w:r w:rsidRPr="004033B1">
        <w:rPr>
          <w:rFonts w:eastAsiaTheme="minorHAnsi"/>
          <w:lang w:val="en-US" w:eastAsia="en-US"/>
        </w:rPr>
        <w:t xml:space="preserve">Starting from the </w:t>
      </w:r>
      <w:r w:rsidR="009A3758" w:rsidRPr="004033B1">
        <w:rPr>
          <w:rFonts w:eastAsiaTheme="minorHAnsi"/>
          <w:lang w:val="en-US" w:eastAsia="en-US"/>
        </w:rPr>
        <w:t xml:space="preserve">1948 </w:t>
      </w:r>
      <w:r w:rsidRPr="004033B1">
        <w:rPr>
          <w:rFonts w:eastAsiaTheme="minorHAnsi"/>
          <w:lang w:val="en-US" w:eastAsia="en-US"/>
        </w:rPr>
        <w:t xml:space="preserve">German Basic Law, Loewenstein’s idea that democracy cannot survive without self-protected measures has been constitutionally entrenched in many jurisdictions, particularly in Europe. Constitutional </w:t>
      </w:r>
      <w:r w:rsidRPr="004033B1">
        <w:rPr>
          <w:lang w:val="en-US"/>
        </w:rPr>
        <w:t>m</w:t>
      </w:r>
      <w:r w:rsidR="00EF402D" w:rsidRPr="004033B1">
        <w:rPr>
          <w:lang w:val="en-US"/>
        </w:rPr>
        <w:t>ilitancy includes</w:t>
      </w:r>
      <w:r w:rsidRPr="004033B1">
        <w:rPr>
          <w:lang w:val="en-US"/>
        </w:rPr>
        <w:t xml:space="preserve">, for example, </w:t>
      </w:r>
      <w:r w:rsidR="00EF402D" w:rsidRPr="004033B1">
        <w:rPr>
          <w:lang w:val="en-US"/>
        </w:rPr>
        <w:t>restricting free speech, outlawing hate speech, banning political parties and associations</w:t>
      </w:r>
      <w:r w:rsidR="009A3758" w:rsidRPr="004033B1">
        <w:rPr>
          <w:lang w:val="en-US"/>
        </w:rPr>
        <w:t>,</w:t>
      </w:r>
      <w:r w:rsidR="006C30B1" w:rsidRPr="004033B1">
        <w:rPr>
          <w:lang w:val="en-US"/>
        </w:rPr>
        <w:t xml:space="preserve"> and</w:t>
      </w:r>
      <w:r w:rsidR="00EF402D" w:rsidRPr="004033B1">
        <w:rPr>
          <w:lang w:val="en-US"/>
        </w:rPr>
        <w:t xml:space="preserve"> disqualifying parties from electoral lists.</w:t>
      </w:r>
      <w:r w:rsidR="00EF402D" w:rsidRPr="004033B1">
        <w:rPr>
          <w:rStyle w:val="FootnoteReference"/>
          <w:lang w:val="en-US"/>
        </w:rPr>
        <w:footnoteReference w:id="30"/>
      </w:r>
      <w:r w:rsidR="00EF402D" w:rsidRPr="004033B1">
        <w:rPr>
          <w:lang w:val="en-US"/>
        </w:rPr>
        <w:t xml:space="preserve"> Thus, notwithstanding different protective </w:t>
      </w:r>
      <w:r w:rsidR="00EF402D" w:rsidRPr="004033B1">
        <w:rPr>
          <w:lang w:val="en-US"/>
        </w:rPr>
        <w:lastRenderedPageBreak/>
        <w:t>techniques that lead to varieties of militancy, contemporary democracies are by default legally structured as more or less militant democracies.</w:t>
      </w:r>
      <w:r w:rsidR="00EF402D" w:rsidRPr="004033B1">
        <w:rPr>
          <w:rStyle w:val="FootnoteReference"/>
          <w:lang w:val="en-US"/>
        </w:rPr>
        <w:footnoteReference w:id="31"/>
      </w:r>
      <w:r w:rsidR="00EF402D" w:rsidRPr="004033B1">
        <w:rPr>
          <w:lang w:val="en-US"/>
        </w:rPr>
        <w:t xml:space="preserve"> </w:t>
      </w:r>
    </w:p>
    <w:p w14:paraId="3B62D348" w14:textId="1DF9CF57" w:rsidR="00C55D0D" w:rsidRPr="004033B1" w:rsidRDefault="00036C4D" w:rsidP="00C55D0D">
      <w:pPr>
        <w:autoSpaceDE w:val="0"/>
        <w:autoSpaceDN w:val="0"/>
        <w:adjustRightInd w:val="0"/>
        <w:spacing w:line="360" w:lineRule="auto"/>
        <w:ind w:firstLine="720"/>
        <w:jc w:val="both"/>
        <w:rPr>
          <w:rFonts w:eastAsiaTheme="minorHAnsi"/>
          <w:lang w:val="en-US" w:eastAsia="en-US"/>
        </w:rPr>
      </w:pPr>
      <w:r w:rsidRPr="004033B1">
        <w:rPr>
          <w:lang w:val="en-US"/>
        </w:rPr>
        <w:t>I</w:t>
      </w:r>
      <w:r w:rsidR="00EF402D" w:rsidRPr="004033B1">
        <w:rPr>
          <w:lang w:val="en-US"/>
        </w:rPr>
        <w:t>n contemporary Europe, militant democracy is internationally promoted by the European Court of Human Rights</w:t>
      </w:r>
      <w:r w:rsidR="00BC6A19">
        <w:rPr>
          <w:lang w:val="en-US"/>
        </w:rPr>
        <w:t xml:space="preserve"> (the ECtHR)</w:t>
      </w:r>
      <w:r w:rsidR="00EF402D" w:rsidRPr="004033B1">
        <w:rPr>
          <w:lang w:val="en-US"/>
        </w:rPr>
        <w:t>, whose jurisprudence serves as a principle guide on permissible legal obstacles to democracy endangering actions.</w:t>
      </w:r>
      <w:r w:rsidR="00EF402D" w:rsidRPr="004033B1">
        <w:rPr>
          <w:rStyle w:val="FootnoteReference"/>
          <w:lang w:val="en-US"/>
        </w:rPr>
        <w:footnoteReference w:id="32"/>
      </w:r>
      <w:r w:rsidRPr="004033B1">
        <w:rPr>
          <w:lang w:val="en-US"/>
        </w:rPr>
        <w:t xml:space="preserve"> Moreover, t</w:t>
      </w:r>
      <w:r w:rsidR="006C30B1" w:rsidRPr="004033B1">
        <w:rPr>
          <w:lang w:val="en-US"/>
        </w:rPr>
        <w:t>he</w:t>
      </w:r>
      <w:r w:rsidR="006C30B1" w:rsidRPr="004033B1">
        <w:rPr>
          <w:b/>
          <w:bCs/>
          <w:color w:val="0E101A"/>
          <w:lang w:val="en-US"/>
        </w:rPr>
        <w:t> </w:t>
      </w:r>
      <w:r w:rsidR="006C30B1" w:rsidRPr="004033B1">
        <w:rPr>
          <w:lang w:val="en-US"/>
        </w:rPr>
        <w:t xml:space="preserve">EU democracy, despite all its deficiencies, is </w:t>
      </w:r>
      <w:r w:rsidRPr="004033B1">
        <w:rPr>
          <w:lang w:val="en-US"/>
        </w:rPr>
        <w:t xml:space="preserve">also </w:t>
      </w:r>
      <w:r w:rsidR="006C30B1" w:rsidRPr="004033B1">
        <w:rPr>
          <w:lang w:val="en-US"/>
        </w:rPr>
        <w:t xml:space="preserve">antagonistic to its enemies. </w:t>
      </w:r>
      <w:r w:rsidR="009A3758" w:rsidRPr="004033B1">
        <w:rPr>
          <w:lang w:val="en-US"/>
        </w:rPr>
        <w:t>For the first time, t</w:t>
      </w:r>
      <w:r w:rsidR="006C30B1" w:rsidRPr="004033B1">
        <w:rPr>
          <w:lang w:val="en-US"/>
        </w:rPr>
        <w:t xml:space="preserve">he </w:t>
      </w:r>
      <w:r w:rsidRPr="004033B1">
        <w:rPr>
          <w:lang w:val="en-US"/>
        </w:rPr>
        <w:t xml:space="preserve">transnational </w:t>
      </w:r>
      <w:r w:rsidR="00740D02">
        <w:rPr>
          <w:lang w:val="en-US"/>
        </w:rPr>
        <w:t xml:space="preserve">militant </w:t>
      </w:r>
      <w:r w:rsidR="006C30B1" w:rsidRPr="004033B1">
        <w:rPr>
          <w:lang w:val="en-US"/>
        </w:rPr>
        <w:t>democracy protective mechanism was</w:t>
      </w:r>
      <w:r w:rsidR="009A3758" w:rsidRPr="004033B1">
        <w:rPr>
          <w:lang w:val="en-US"/>
        </w:rPr>
        <w:t xml:space="preserve"> </w:t>
      </w:r>
      <w:r w:rsidR="006C30B1" w:rsidRPr="004033B1">
        <w:rPr>
          <w:lang w:val="en-US"/>
        </w:rPr>
        <w:t xml:space="preserve">included </w:t>
      </w:r>
      <w:r w:rsidRPr="004033B1">
        <w:rPr>
          <w:lang w:val="en-US"/>
        </w:rPr>
        <w:t xml:space="preserve">on the EU level </w:t>
      </w:r>
      <w:r w:rsidR="006C30B1" w:rsidRPr="004033B1">
        <w:rPr>
          <w:lang w:val="en-US"/>
        </w:rPr>
        <w:t xml:space="preserve">in the Amsterdam Treaty, adopted in 1999, and </w:t>
      </w:r>
      <w:r w:rsidRPr="004033B1">
        <w:rPr>
          <w:lang w:val="en-US"/>
        </w:rPr>
        <w:t xml:space="preserve">then </w:t>
      </w:r>
      <w:r w:rsidR="006C30B1" w:rsidRPr="004033B1">
        <w:rPr>
          <w:lang w:val="en-US"/>
        </w:rPr>
        <w:t xml:space="preserve">amended </w:t>
      </w:r>
      <w:r w:rsidRPr="004033B1">
        <w:rPr>
          <w:lang w:val="en-US"/>
        </w:rPr>
        <w:t>in 2001 with the adoption of</w:t>
      </w:r>
      <w:r w:rsidR="006C30B1" w:rsidRPr="004033B1">
        <w:rPr>
          <w:lang w:val="en-US"/>
        </w:rPr>
        <w:t xml:space="preserve"> the Treaty of Nice. The amendments were inspired by the sanctions imposed on Austria in 2000 due </w:t>
      </w:r>
      <w:r w:rsidRPr="004033B1">
        <w:rPr>
          <w:lang w:val="en-US"/>
        </w:rPr>
        <w:t xml:space="preserve">to the </w:t>
      </w:r>
      <w:r w:rsidR="006C30B1" w:rsidRPr="004033B1">
        <w:rPr>
          <w:lang w:val="en-US"/>
        </w:rPr>
        <w:t xml:space="preserve">formation of the collation government that included the far-right Haider's Freedom Party, </w:t>
      </w:r>
      <w:r w:rsidR="00770292">
        <w:rPr>
          <w:lang w:val="en-US"/>
        </w:rPr>
        <w:t>associated to</w:t>
      </w:r>
      <w:r w:rsidR="006C30B1" w:rsidRPr="004033B1">
        <w:rPr>
          <w:lang w:val="en-US"/>
        </w:rPr>
        <w:t xml:space="preserve"> the National Socialist past.</w:t>
      </w:r>
      <w:r w:rsidR="006C30B1" w:rsidRPr="004033B1">
        <w:rPr>
          <w:rStyle w:val="FootnoteReference"/>
          <w:lang w:val="en-US"/>
        </w:rPr>
        <w:footnoteReference w:id="33"/>
      </w:r>
      <w:r w:rsidR="006C30B1" w:rsidRPr="004033B1">
        <w:rPr>
          <w:lang w:val="en-US"/>
        </w:rPr>
        <w:t xml:space="preserve"> </w:t>
      </w:r>
      <w:r w:rsidRPr="004033B1">
        <w:rPr>
          <w:lang w:val="en-US"/>
        </w:rPr>
        <w:t>T</w:t>
      </w:r>
      <w:r w:rsidR="006C30B1" w:rsidRPr="004033B1">
        <w:rPr>
          <w:lang w:val="en-US"/>
        </w:rPr>
        <w:t>ransnational militant democracy mechanism as a response to democratic backsliding in the Member States was for the first time activated in 2017 against Poland, and soon after, against Hungary in 2018.</w:t>
      </w:r>
      <w:r w:rsidRPr="004033B1">
        <w:rPr>
          <w:lang w:val="en-US"/>
        </w:rPr>
        <w:t xml:space="preserve"> Both proceedings are still pending. </w:t>
      </w:r>
    </w:p>
    <w:p w14:paraId="406F1A01" w14:textId="7B9B3A8D" w:rsidR="00C55D0D" w:rsidRPr="004033B1" w:rsidRDefault="00C55D0D" w:rsidP="0037354A">
      <w:pPr>
        <w:autoSpaceDE w:val="0"/>
        <w:autoSpaceDN w:val="0"/>
        <w:adjustRightInd w:val="0"/>
        <w:spacing w:line="360" w:lineRule="auto"/>
        <w:ind w:firstLine="720"/>
        <w:jc w:val="both"/>
        <w:rPr>
          <w:lang w:val="en-US"/>
        </w:rPr>
      </w:pPr>
      <w:r w:rsidRPr="004033B1">
        <w:rPr>
          <w:rFonts w:eastAsiaTheme="minorHAnsi"/>
          <w:lang w:val="en-US" w:eastAsia="en-US"/>
        </w:rPr>
        <w:t xml:space="preserve">Now, </w:t>
      </w:r>
      <w:r w:rsidRPr="004033B1">
        <w:rPr>
          <w:lang w:val="en-US"/>
        </w:rPr>
        <w:t>because it allows excluding some citizens and their voices from political life, </w:t>
      </w:r>
      <w:r w:rsidRPr="004033B1">
        <w:rPr>
          <w:i/>
          <w:iCs/>
          <w:color w:val="0E101A"/>
          <w:lang w:val="en-US"/>
        </w:rPr>
        <w:t>i.e.</w:t>
      </w:r>
      <w:r w:rsidRPr="004033B1">
        <w:rPr>
          <w:lang w:val="en-US"/>
        </w:rPr>
        <w:t xml:space="preserve">, it </w:t>
      </w:r>
      <w:r w:rsidR="00770292">
        <w:rPr>
          <w:lang w:val="en-US"/>
        </w:rPr>
        <w:t>diverges</w:t>
      </w:r>
      <w:r w:rsidR="00770292" w:rsidRPr="004033B1">
        <w:rPr>
          <w:lang w:val="en-US"/>
        </w:rPr>
        <w:t xml:space="preserve"> </w:t>
      </w:r>
      <w:r w:rsidRPr="004033B1">
        <w:rPr>
          <w:lang w:val="en-US"/>
        </w:rPr>
        <w:t>from a fundamental premise of liberal democracy under which all citizens and all voices should be accorded free expression and participation, militant democracy has been subjected to various critics</w:t>
      </w:r>
      <w:r w:rsidR="00471E8B" w:rsidRPr="00471E8B">
        <w:rPr>
          <w:lang w:val="en-US"/>
        </w:rPr>
        <w:t xml:space="preserve"> </w:t>
      </w:r>
      <w:r w:rsidR="00471E8B" w:rsidRPr="004033B1">
        <w:rPr>
          <w:lang w:val="en-US"/>
        </w:rPr>
        <w:t>from the moment of its conceptualization</w:t>
      </w:r>
      <w:r w:rsidRPr="004033B1">
        <w:rPr>
          <w:lang w:val="en-US"/>
        </w:rPr>
        <w:t>.</w:t>
      </w:r>
      <w:r w:rsidRPr="004033B1">
        <w:rPr>
          <w:rStyle w:val="FootnoteReference"/>
          <w:lang w:val="en-US"/>
        </w:rPr>
        <w:footnoteReference w:id="34"/>
      </w:r>
      <w:r w:rsidRPr="004033B1">
        <w:rPr>
          <w:lang w:val="en-US"/>
        </w:rPr>
        <w:t xml:space="preserve"> Loewenstein himself was aware of the democratic dilemma or so-called ‘paradox’ of democracy: “Democracy stands for fundamental rights, for the fair play of all opinions, for free speech, assembly, press. How could it address itself to curtailing these without destroying the very basis of its existence and justification?”</w:t>
      </w:r>
      <w:r w:rsidRPr="004033B1">
        <w:rPr>
          <w:rStyle w:val="FootnoteReference"/>
          <w:lang w:val="en-US"/>
        </w:rPr>
        <w:footnoteReference w:id="35"/>
      </w:r>
      <w:r w:rsidRPr="004033B1">
        <w:rPr>
          <w:lang w:val="en-US"/>
        </w:rPr>
        <w:t xml:space="preserve"> Loewenstein’s approach to democracy was sharply criticized by his contemporary rival Hans </w:t>
      </w:r>
      <w:proofErr w:type="spellStart"/>
      <w:r w:rsidRPr="004033B1">
        <w:rPr>
          <w:lang w:val="en-US"/>
        </w:rPr>
        <w:t>Kelsen</w:t>
      </w:r>
      <w:proofErr w:type="spellEnd"/>
      <w:r w:rsidRPr="004033B1">
        <w:rPr>
          <w:lang w:val="en-US"/>
        </w:rPr>
        <w:t xml:space="preserve"> who defended pluralism embedded in the idea o</w:t>
      </w:r>
      <w:r w:rsidR="009A3758" w:rsidRPr="004033B1">
        <w:rPr>
          <w:lang w:val="en-US"/>
        </w:rPr>
        <w:t>f</w:t>
      </w:r>
      <w:r w:rsidRPr="004033B1">
        <w:rPr>
          <w:lang w:val="en-US"/>
        </w:rPr>
        <w:t xml:space="preserve"> democracy on procedural grounds</w:t>
      </w:r>
      <w:r w:rsidR="00A95066" w:rsidRPr="004033B1">
        <w:rPr>
          <w:lang w:val="en-US"/>
        </w:rPr>
        <w:t>,</w:t>
      </w:r>
      <w:r w:rsidRPr="004033B1">
        <w:rPr>
          <w:lang w:val="en-US"/>
        </w:rPr>
        <w:t xml:space="preserve"> arguing that </w:t>
      </w:r>
      <w:r w:rsidR="0037354A" w:rsidRPr="004033B1">
        <w:rPr>
          <w:lang w:val="en-US"/>
        </w:rPr>
        <w:t>all political positions should be given equal rights of expression and participation.</w:t>
      </w:r>
      <w:r w:rsidR="00881E8E">
        <w:rPr>
          <w:rStyle w:val="FootnoteReference"/>
          <w:lang w:val="en-US"/>
        </w:rPr>
        <w:footnoteReference w:id="36"/>
      </w:r>
      <w:r w:rsidR="0037354A" w:rsidRPr="004033B1">
        <w:rPr>
          <w:lang w:val="en-US"/>
        </w:rPr>
        <w:t xml:space="preserve"> T</w:t>
      </w:r>
      <w:r w:rsidRPr="004033B1">
        <w:rPr>
          <w:lang w:val="en-US"/>
        </w:rPr>
        <w:t>he fundamental question</w:t>
      </w:r>
      <w:r w:rsidR="0037354A" w:rsidRPr="004033B1">
        <w:rPr>
          <w:lang w:val="en-US"/>
        </w:rPr>
        <w:t xml:space="preserve"> of</w:t>
      </w:r>
      <w:r w:rsidRPr="004033B1">
        <w:rPr>
          <w:lang w:val="en-US"/>
        </w:rPr>
        <w:t xml:space="preserve"> how to synchronize autonomy, </w:t>
      </w:r>
      <w:r w:rsidRPr="004033B1">
        <w:rPr>
          <w:lang w:val="en-US"/>
        </w:rPr>
        <w:lastRenderedPageBreak/>
        <w:t>laying in the heart of political rights and freedoms, and measures aimed at restricting that autonomy, without turning the very democracy against itself</w:t>
      </w:r>
      <w:r w:rsidR="0037354A" w:rsidRPr="004033B1">
        <w:rPr>
          <w:lang w:val="en-US"/>
        </w:rPr>
        <w:t>,</w:t>
      </w:r>
      <w:r w:rsidRPr="004033B1">
        <w:rPr>
          <w:lang w:val="en-US"/>
        </w:rPr>
        <w:t> </w:t>
      </w:r>
      <w:r w:rsidR="0037354A" w:rsidRPr="004033B1">
        <w:rPr>
          <w:lang w:val="en-US"/>
        </w:rPr>
        <w:t xml:space="preserve">has been </w:t>
      </w:r>
      <w:r w:rsidR="009A3758" w:rsidRPr="004033B1">
        <w:rPr>
          <w:lang w:val="en-US"/>
        </w:rPr>
        <w:t xml:space="preserve">the </w:t>
      </w:r>
      <w:r w:rsidR="0037354A" w:rsidRPr="004033B1">
        <w:rPr>
          <w:lang w:val="en-US"/>
        </w:rPr>
        <w:t xml:space="preserve">preoccupation of modern scholars as well, whose debate is driven by contemporary challenges to </w:t>
      </w:r>
      <w:r w:rsidR="00A95066" w:rsidRPr="004033B1">
        <w:rPr>
          <w:lang w:val="en-US"/>
        </w:rPr>
        <w:t>constitutional democracies</w:t>
      </w:r>
      <w:r w:rsidR="008272DC" w:rsidRPr="004033B1">
        <w:rPr>
          <w:lang w:val="en-US"/>
        </w:rPr>
        <w:t>, different from those in Loewenstein</w:t>
      </w:r>
      <w:r w:rsidR="003F297D">
        <w:t>’s</w:t>
      </w:r>
      <w:r w:rsidR="008272DC" w:rsidRPr="004033B1">
        <w:rPr>
          <w:lang w:val="en-US"/>
        </w:rPr>
        <w:t xml:space="preserve"> </w:t>
      </w:r>
      <w:r w:rsidR="009A3758" w:rsidRPr="004033B1">
        <w:rPr>
          <w:lang w:val="en-US"/>
        </w:rPr>
        <w:t>t</w:t>
      </w:r>
      <w:r w:rsidR="008272DC" w:rsidRPr="004033B1">
        <w:rPr>
          <w:lang w:val="en-US"/>
        </w:rPr>
        <w:t xml:space="preserve">ime. </w:t>
      </w:r>
    </w:p>
    <w:p w14:paraId="38CA36D0" w14:textId="031315ED" w:rsidR="00191F48" w:rsidRDefault="00191F48" w:rsidP="0007492A">
      <w:pPr>
        <w:autoSpaceDE w:val="0"/>
        <w:autoSpaceDN w:val="0"/>
        <w:adjustRightInd w:val="0"/>
        <w:spacing w:line="360" w:lineRule="auto"/>
        <w:ind w:firstLine="720"/>
        <w:jc w:val="both"/>
        <w:rPr>
          <w:rFonts w:eastAsiaTheme="minorHAnsi"/>
          <w:lang w:val="en-US" w:eastAsia="en-US"/>
        </w:rPr>
      </w:pPr>
      <w:r w:rsidRPr="00191F48">
        <w:rPr>
          <w:rFonts w:eastAsiaTheme="minorHAnsi"/>
          <w:lang w:val="en-US" w:eastAsia="en-US"/>
        </w:rPr>
        <w:t>Considering the issue of whether it is possible or not to pacify the inherent arbitrariness of militant democracy and prevent democracies from turning abusive in the long run, however essential, is not a subject of this discussion. Instead, I turn now to dispute Ginsburg</w:t>
      </w:r>
      <w:r w:rsidR="00325CA2">
        <w:rPr>
          <w:rFonts w:eastAsiaTheme="minorHAnsi"/>
          <w:lang w:val="en-US" w:eastAsia="en-US"/>
        </w:rPr>
        <w:t>’s</w:t>
      </w:r>
      <w:r w:rsidRPr="00191F48">
        <w:rPr>
          <w:rFonts w:eastAsiaTheme="minorHAnsi"/>
          <w:lang w:val="en-US" w:eastAsia="en-US"/>
        </w:rPr>
        <w:t xml:space="preserve"> and Huq</w:t>
      </w:r>
      <w:r w:rsidR="00325CA2">
        <w:rPr>
          <w:rFonts w:eastAsiaTheme="minorHAnsi"/>
          <w:lang w:val="en-US" w:eastAsia="en-US"/>
        </w:rPr>
        <w:t>’</w:t>
      </w:r>
      <w:r w:rsidRPr="00191F48">
        <w:rPr>
          <w:rFonts w:eastAsiaTheme="minorHAnsi"/>
          <w:lang w:val="en-US" w:eastAsia="en-US"/>
        </w:rPr>
        <w:t>s views</w:t>
      </w:r>
      <w:r w:rsidR="00740D02">
        <w:rPr>
          <w:rFonts w:eastAsiaTheme="minorHAnsi"/>
          <w:lang w:val="en-US" w:eastAsia="en-US"/>
        </w:rPr>
        <w:t xml:space="preserve"> related to populism and militant democracy.</w:t>
      </w:r>
      <w:r w:rsidRPr="00191F48">
        <w:rPr>
          <w:rFonts w:eastAsiaTheme="minorHAnsi"/>
          <w:lang w:val="en-US" w:eastAsia="en-US"/>
        </w:rPr>
        <w:t xml:space="preserve"> I will start with the conceptual issues because the </w:t>
      </w:r>
      <w:r w:rsidR="00740D02">
        <w:rPr>
          <w:rFonts w:eastAsiaTheme="minorHAnsi"/>
          <w:lang w:val="en-US" w:eastAsia="en-US"/>
        </w:rPr>
        <w:t xml:space="preserve">authors’ </w:t>
      </w:r>
      <w:r w:rsidRPr="00191F48">
        <w:rPr>
          <w:rFonts w:eastAsiaTheme="minorHAnsi"/>
          <w:lang w:val="en-US" w:eastAsia="en-US"/>
        </w:rPr>
        <w:t>suspicion towards militant democracy derives from its association with specific concepts that do not treat liberty as an absolute value in a similar way as militant democracy</w:t>
      </w:r>
      <w:r w:rsidR="003F297D">
        <w:rPr>
          <w:rFonts w:eastAsiaTheme="minorHAnsi"/>
          <w:lang w:val="en-US" w:eastAsia="en-US"/>
        </w:rPr>
        <w:t>,</w:t>
      </w:r>
      <w:r w:rsidRPr="00191F48">
        <w:rPr>
          <w:rFonts w:eastAsiaTheme="minorHAnsi"/>
          <w:lang w:val="en-US" w:eastAsia="en-US"/>
        </w:rPr>
        <w:t xml:space="preserve"> or from the wrong transfer of its logic in the religious liberty field.</w:t>
      </w:r>
    </w:p>
    <w:p w14:paraId="0E3CDC66" w14:textId="77777777" w:rsidR="00586838" w:rsidRDefault="00586838" w:rsidP="0007492A">
      <w:pPr>
        <w:autoSpaceDE w:val="0"/>
        <w:autoSpaceDN w:val="0"/>
        <w:adjustRightInd w:val="0"/>
        <w:spacing w:line="360" w:lineRule="auto"/>
        <w:ind w:firstLine="720"/>
        <w:jc w:val="both"/>
        <w:rPr>
          <w:rFonts w:eastAsiaTheme="minorHAnsi"/>
          <w:lang w:val="en-US" w:eastAsia="en-US"/>
        </w:rPr>
      </w:pPr>
    </w:p>
    <w:p w14:paraId="7AE541F4" w14:textId="4FDFEA7B" w:rsidR="008B0C5D" w:rsidRDefault="00F54D39" w:rsidP="008B0C5D">
      <w:pPr>
        <w:pStyle w:val="ListParagraph"/>
        <w:numPr>
          <w:ilvl w:val="1"/>
          <w:numId w:val="4"/>
        </w:numPr>
        <w:autoSpaceDE w:val="0"/>
        <w:autoSpaceDN w:val="0"/>
        <w:adjustRightInd w:val="0"/>
        <w:spacing w:line="360" w:lineRule="auto"/>
        <w:jc w:val="both"/>
        <w:rPr>
          <w:rFonts w:eastAsiaTheme="minorHAnsi"/>
          <w:b/>
          <w:bCs/>
          <w:lang w:val="en-US" w:eastAsia="en-US"/>
        </w:rPr>
      </w:pPr>
      <w:r w:rsidRPr="005B4804">
        <w:rPr>
          <w:rFonts w:eastAsiaTheme="minorHAnsi"/>
          <w:b/>
          <w:bCs/>
          <w:lang w:val="en-US" w:eastAsia="en-US"/>
        </w:rPr>
        <w:t>Militant Democracy Does Not Stand for a ‘Counter-Terror State.’</w:t>
      </w:r>
    </w:p>
    <w:p w14:paraId="5C334EB8" w14:textId="77777777" w:rsidR="00586838" w:rsidRPr="0007492A" w:rsidRDefault="00586838" w:rsidP="00586838">
      <w:pPr>
        <w:pStyle w:val="ListParagraph"/>
        <w:autoSpaceDE w:val="0"/>
        <w:autoSpaceDN w:val="0"/>
        <w:adjustRightInd w:val="0"/>
        <w:spacing w:line="360" w:lineRule="auto"/>
        <w:jc w:val="both"/>
        <w:rPr>
          <w:rFonts w:eastAsiaTheme="minorHAnsi"/>
          <w:b/>
          <w:bCs/>
          <w:lang w:val="en-US" w:eastAsia="en-US"/>
        </w:rPr>
      </w:pPr>
    </w:p>
    <w:p w14:paraId="048D3A6F" w14:textId="300ADE58" w:rsidR="000E6643" w:rsidRPr="004033B1" w:rsidRDefault="00FB26A9" w:rsidP="000E6643">
      <w:pPr>
        <w:autoSpaceDE w:val="0"/>
        <w:autoSpaceDN w:val="0"/>
        <w:adjustRightInd w:val="0"/>
        <w:spacing w:line="360" w:lineRule="auto"/>
        <w:ind w:firstLine="720"/>
        <w:jc w:val="both"/>
        <w:rPr>
          <w:rFonts w:eastAsiaTheme="minorHAnsi"/>
          <w:lang w:val="en-US" w:eastAsia="en-US"/>
        </w:rPr>
      </w:pPr>
      <w:r w:rsidRPr="004033B1">
        <w:rPr>
          <w:rFonts w:eastAsiaTheme="minorHAnsi"/>
          <w:lang w:val="en-US" w:eastAsia="en-US"/>
        </w:rPr>
        <w:t>One line of argument</w:t>
      </w:r>
      <w:r w:rsidR="002B2CB6">
        <w:rPr>
          <w:rFonts w:eastAsiaTheme="minorHAnsi"/>
          <w:lang w:val="en-US" w:eastAsia="en-US"/>
        </w:rPr>
        <w:t>s</w:t>
      </w:r>
      <w:r w:rsidRPr="004033B1">
        <w:rPr>
          <w:rFonts w:eastAsiaTheme="minorHAnsi"/>
          <w:lang w:val="en-US" w:eastAsia="en-US"/>
        </w:rPr>
        <w:t xml:space="preserve"> used by Ginsburg and Huq to show why militant democracy cannot hedge against the risk of democratic erosion is </w:t>
      </w:r>
      <w:r w:rsidR="008B0C5D" w:rsidRPr="004033B1">
        <w:rPr>
          <w:rFonts w:eastAsiaTheme="minorHAnsi"/>
          <w:lang w:val="en-US" w:eastAsia="en-US"/>
        </w:rPr>
        <w:t xml:space="preserve">its alleged </w:t>
      </w:r>
      <w:r w:rsidR="00C92E67" w:rsidRPr="004033B1">
        <w:rPr>
          <w:rFonts w:eastAsiaTheme="minorHAnsi"/>
          <w:lang w:val="en-US" w:eastAsia="en-US"/>
        </w:rPr>
        <w:t xml:space="preserve">problematic </w:t>
      </w:r>
      <w:r w:rsidR="00833633" w:rsidRPr="004033B1">
        <w:rPr>
          <w:rFonts w:eastAsiaTheme="minorHAnsi"/>
          <w:lang w:val="en-US" w:eastAsia="en-US"/>
        </w:rPr>
        <w:t>association</w:t>
      </w:r>
      <w:r w:rsidR="008B0C5D" w:rsidRPr="004033B1">
        <w:rPr>
          <w:rFonts w:eastAsiaTheme="minorHAnsi"/>
          <w:lang w:val="en-US" w:eastAsia="en-US"/>
        </w:rPr>
        <w:t xml:space="preserve"> with the state’s responses to terrorism. To explain the use of militant democracy’s methods against Muslim minority in Europe, they</w:t>
      </w:r>
      <w:r w:rsidR="00342D6A" w:rsidRPr="004033B1">
        <w:rPr>
          <w:rFonts w:eastAsiaTheme="minorHAnsi"/>
          <w:lang w:val="en-US" w:eastAsia="en-US"/>
        </w:rPr>
        <w:t xml:space="preserve"> </w:t>
      </w:r>
      <w:r w:rsidR="0001573B" w:rsidRPr="004033B1">
        <w:rPr>
          <w:rFonts w:eastAsiaTheme="minorHAnsi"/>
          <w:lang w:val="en-US" w:eastAsia="en-US"/>
        </w:rPr>
        <w:t>merged not only militant democracy and the state responses to terrorism, but militant democracy and emergency powers, as well</w:t>
      </w:r>
      <w:r w:rsidR="008B0C5D" w:rsidRPr="004033B1">
        <w:rPr>
          <w:rFonts w:eastAsiaTheme="minorHAnsi"/>
          <w:lang w:val="en-US" w:eastAsia="en-US"/>
        </w:rPr>
        <w:t>: “Antiterrorism measures, in particular France’s extensive use of emergency powers after a series of attacks in Paris, have led to the closure or close surveillance of many mosques and Islamic associations.”</w:t>
      </w:r>
      <w:r w:rsidR="00E30C0F">
        <w:rPr>
          <w:rStyle w:val="FootnoteReference"/>
          <w:rFonts w:eastAsiaTheme="minorHAnsi"/>
          <w:lang w:val="en-US" w:eastAsia="en-US"/>
        </w:rPr>
        <w:footnoteReference w:id="37"/>
      </w:r>
      <w:r w:rsidR="008B0C5D" w:rsidRPr="004033B1">
        <w:rPr>
          <w:rFonts w:eastAsiaTheme="minorHAnsi"/>
          <w:lang w:val="en-US" w:eastAsia="en-US"/>
        </w:rPr>
        <w:t xml:space="preserve"> </w:t>
      </w:r>
      <w:r w:rsidR="0001573B" w:rsidRPr="004033B1">
        <w:rPr>
          <w:rFonts w:eastAsiaTheme="minorHAnsi"/>
          <w:lang w:val="en-US" w:eastAsia="en-US"/>
        </w:rPr>
        <w:t xml:space="preserve">Once </w:t>
      </w:r>
      <w:r w:rsidR="003F1A96">
        <w:rPr>
          <w:rFonts w:eastAsiaTheme="minorHAnsi"/>
          <w:lang w:val="en-US" w:eastAsia="en-US"/>
        </w:rPr>
        <w:t xml:space="preserve">the </w:t>
      </w:r>
      <w:r w:rsidR="0001573B" w:rsidRPr="004033B1">
        <w:rPr>
          <w:rFonts w:eastAsiaTheme="minorHAnsi"/>
          <w:lang w:val="en-US" w:eastAsia="en-US"/>
        </w:rPr>
        <w:t xml:space="preserve">distinct models were merged, </w:t>
      </w:r>
      <w:r w:rsidR="00EB3D60">
        <w:rPr>
          <w:rFonts w:eastAsiaTheme="minorHAnsi"/>
          <w:lang w:val="en-US" w:eastAsia="en-US"/>
        </w:rPr>
        <w:t>this</w:t>
      </w:r>
      <w:r w:rsidR="0001573B" w:rsidRPr="004033B1">
        <w:rPr>
          <w:rFonts w:eastAsiaTheme="minorHAnsi"/>
          <w:lang w:val="en-US" w:eastAsia="en-US"/>
        </w:rPr>
        <w:t xml:space="preserve"> inevitabl</w:t>
      </w:r>
      <w:r w:rsidR="003F1A96">
        <w:rPr>
          <w:rFonts w:eastAsiaTheme="minorHAnsi"/>
          <w:lang w:val="en-US" w:eastAsia="en-US"/>
        </w:rPr>
        <w:t>y</w:t>
      </w:r>
      <w:r w:rsidR="0001573B" w:rsidRPr="004033B1">
        <w:rPr>
          <w:rFonts w:eastAsiaTheme="minorHAnsi"/>
          <w:lang w:val="en-US" w:eastAsia="en-US"/>
        </w:rPr>
        <w:t xml:space="preserve"> led to the conclusion that c</w:t>
      </w:r>
      <w:r w:rsidR="00421DE4" w:rsidRPr="004033B1">
        <w:rPr>
          <w:rFonts w:eastAsiaTheme="minorHAnsi"/>
          <w:lang w:val="en-US" w:eastAsia="en-US"/>
        </w:rPr>
        <w:t>onstitutionally designed militant democracy can be counterproductive as “</w:t>
      </w:r>
      <w:r w:rsidR="003C7AC7" w:rsidRPr="004033B1">
        <w:rPr>
          <w:rFonts w:eastAsiaTheme="minorHAnsi"/>
          <w:lang w:val="en-US" w:eastAsia="en-US"/>
        </w:rPr>
        <w:t>i</w:t>
      </w:r>
      <w:r w:rsidR="008B0C5D" w:rsidRPr="004033B1">
        <w:rPr>
          <w:rFonts w:eastAsiaTheme="minorHAnsi"/>
          <w:lang w:val="en-US" w:eastAsia="en-US"/>
        </w:rPr>
        <w:t>t is amenable to use against not only those who present an actual</w:t>
      </w:r>
      <w:r w:rsidR="00421DE4" w:rsidRPr="004033B1">
        <w:rPr>
          <w:rFonts w:eastAsiaTheme="minorHAnsi"/>
          <w:lang w:val="en-US" w:eastAsia="en-US"/>
        </w:rPr>
        <w:t xml:space="preserve"> </w:t>
      </w:r>
      <w:r w:rsidR="008B0C5D" w:rsidRPr="004033B1">
        <w:rPr>
          <w:rFonts w:eastAsiaTheme="minorHAnsi"/>
          <w:lang w:val="en-US" w:eastAsia="en-US"/>
        </w:rPr>
        <w:t>threat, but also those who are perceived as alien and therefore unworthy of</w:t>
      </w:r>
      <w:r w:rsidR="00421DE4" w:rsidRPr="004033B1">
        <w:rPr>
          <w:rFonts w:eastAsiaTheme="minorHAnsi"/>
          <w:lang w:val="en-US" w:eastAsia="en-US"/>
        </w:rPr>
        <w:t xml:space="preserve"> </w:t>
      </w:r>
      <w:r w:rsidR="008B0C5D" w:rsidRPr="004033B1">
        <w:rPr>
          <w:rFonts w:eastAsiaTheme="minorHAnsi"/>
          <w:lang w:val="en-US" w:eastAsia="en-US"/>
        </w:rPr>
        <w:t>inclusion in the body politic</w:t>
      </w:r>
      <w:r w:rsidR="0001573B" w:rsidRPr="004033B1">
        <w:rPr>
          <w:rFonts w:eastAsiaTheme="minorHAnsi"/>
          <w:lang w:val="en-US" w:eastAsia="en-US"/>
        </w:rPr>
        <w:t>.</w:t>
      </w:r>
      <w:r w:rsidR="00421DE4" w:rsidRPr="004033B1">
        <w:rPr>
          <w:rFonts w:eastAsiaTheme="minorHAnsi"/>
          <w:lang w:val="en-US" w:eastAsia="en-US"/>
        </w:rPr>
        <w:t>”</w:t>
      </w:r>
      <w:r w:rsidR="00E30C0F">
        <w:rPr>
          <w:rStyle w:val="FootnoteReference"/>
          <w:rFonts w:eastAsiaTheme="minorHAnsi"/>
          <w:lang w:val="en-US" w:eastAsia="en-US"/>
        </w:rPr>
        <w:footnoteReference w:id="38"/>
      </w:r>
      <w:r w:rsidR="00DE741C" w:rsidRPr="004033B1">
        <w:rPr>
          <w:rFonts w:eastAsiaTheme="minorHAnsi"/>
          <w:lang w:val="en-US" w:eastAsia="en-US"/>
        </w:rPr>
        <w:t xml:space="preserve"> </w:t>
      </w:r>
    </w:p>
    <w:p w14:paraId="6CAD4B5A" w14:textId="42D85F59" w:rsidR="001500EA" w:rsidRPr="004033B1" w:rsidRDefault="000E6643" w:rsidP="001500EA">
      <w:pPr>
        <w:autoSpaceDE w:val="0"/>
        <w:autoSpaceDN w:val="0"/>
        <w:adjustRightInd w:val="0"/>
        <w:spacing w:line="360" w:lineRule="auto"/>
        <w:ind w:firstLine="720"/>
        <w:jc w:val="both"/>
        <w:rPr>
          <w:rFonts w:eastAsiaTheme="minorHAnsi"/>
          <w:lang w:val="en-US" w:eastAsia="en-US"/>
        </w:rPr>
      </w:pPr>
      <w:r w:rsidRPr="004033B1">
        <w:rPr>
          <w:rFonts w:eastAsiaTheme="minorHAnsi"/>
          <w:lang w:val="en-US" w:eastAsia="en-US"/>
        </w:rPr>
        <w:t xml:space="preserve">Ginsburg and Huq are not the first </w:t>
      </w:r>
      <w:r w:rsidR="00175AE3">
        <w:rPr>
          <w:rFonts w:eastAsiaTheme="minorHAnsi"/>
          <w:lang w:val="en-US" w:eastAsia="en-US"/>
        </w:rPr>
        <w:t xml:space="preserve">ones </w:t>
      </w:r>
      <w:r w:rsidRPr="004033B1">
        <w:rPr>
          <w:rFonts w:eastAsiaTheme="minorHAnsi"/>
          <w:lang w:val="en-US" w:eastAsia="en-US"/>
        </w:rPr>
        <w:t xml:space="preserve">who </w:t>
      </w:r>
      <w:r w:rsidR="00A10DDB">
        <w:rPr>
          <w:rFonts w:eastAsiaTheme="minorHAnsi"/>
          <w:lang w:val="en-US" w:eastAsia="en-US"/>
        </w:rPr>
        <w:t xml:space="preserve">have </w:t>
      </w:r>
      <w:r w:rsidRPr="004033B1">
        <w:rPr>
          <w:rFonts w:eastAsiaTheme="minorHAnsi"/>
          <w:lang w:val="en-US" w:eastAsia="en-US"/>
        </w:rPr>
        <w:t>connect</w:t>
      </w:r>
      <w:r w:rsidR="00BD28E0" w:rsidRPr="004033B1">
        <w:rPr>
          <w:rFonts w:eastAsiaTheme="minorHAnsi"/>
          <w:lang w:val="en-US" w:eastAsia="en-US"/>
        </w:rPr>
        <w:t>ed</w:t>
      </w:r>
      <w:r w:rsidRPr="004033B1">
        <w:rPr>
          <w:rFonts w:eastAsiaTheme="minorHAnsi"/>
          <w:lang w:val="en-US" w:eastAsia="en-US"/>
        </w:rPr>
        <w:t xml:space="preserve"> militant democracy with the state’s responses to terrorism. Some anti-terrorist laws adopted after the 9/11 attacks on </w:t>
      </w:r>
      <w:r w:rsidR="00A10DDB">
        <w:rPr>
          <w:rFonts w:eastAsiaTheme="minorHAnsi"/>
          <w:lang w:val="en-US" w:eastAsia="en-US"/>
        </w:rPr>
        <w:t xml:space="preserve">the </w:t>
      </w:r>
      <w:r w:rsidRPr="004033B1">
        <w:rPr>
          <w:rFonts w:eastAsiaTheme="minorHAnsi"/>
          <w:lang w:val="en-US" w:eastAsia="en-US"/>
        </w:rPr>
        <w:t>US soil have been explained with the reference to militant democracy.</w:t>
      </w:r>
      <w:r w:rsidR="003A2C4F">
        <w:rPr>
          <w:rStyle w:val="FootnoteReference"/>
          <w:rFonts w:eastAsiaTheme="minorHAnsi"/>
          <w:lang w:val="en-US" w:eastAsia="en-US"/>
        </w:rPr>
        <w:footnoteReference w:id="39"/>
      </w:r>
      <w:r w:rsidRPr="004033B1">
        <w:rPr>
          <w:rFonts w:eastAsiaTheme="minorHAnsi"/>
          <w:lang w:val="en-US" w:eastAsia="en-US"/>
        </w:rPr>
        <w:t xml:space="preserve"> </w:t>
      </w:r>
      <w:r w:rsidR="00E71E45" w:rsidRPr="004033B1">
        <w:rPr>
          <w:rFonts w:eastAsiaTheme="minorHAnsi"/>
          <w:lang w:val="en-US" w:eastAsia="en-US"/>
        </w:rPr>
        <w:t>Clive Walker, for example, evaluated then</w:t>
      </w:r>
      <w:r w:rsidR="00EB3D60">
        <w:rPr>
          <w:rFonts w:eastAsiaTheme="minorHAnsi"/>
          <w:lang w:val="en-US" w:eastAsia="en-US"/>
        </w:rPr>
        <w:t>-</w:t>
      </w:r>
      <w:r w:rsidR="00E71E45" w:rsidRPr="004033B1">
        <w:rPr>
          <w:rFonts w:eastAsiaTheme="minorHAnsi"/>
          <w:lang w:val="en-US" w:eastAsia="en-US"/>
        </w:rPr>
        <w:t xml:space="preserve">valid UK anti-terrorism laws arguing that “The anti-terrorism legislation reflects long-standing notions of militant democracy in which a state based on </w:t>
      </w:r>
      <w:r w:rsidR="00E71E45" w:rsidRPr="004033B1">
        <w:rPr>
          <w:rFonts w:eastAsiaTheme="minorHAnsi"/>
          <w:lang w:val="en-US" w:eastAsia="en-US"/>
        </w:rPr>
        <w:lastRenderedPageBreak/>
        <w:t>legitimate foundations should be ready and willing to confront opponents who abuse its tolerance.”</w:t>
      </w:r>
      <w:r w:rsidR="00E30C0F">
        <w:rPr>
          <w:rStyle w:val="FootnoteReference"/>
          <w:rFonts w:eastAsiaTheme="minorHAnsi"/>
          <w:lang w:val="en-US" w:eastAsia="en-US"/>
        </w:rPr>
        <w:footnoteReference w:id="40"/>
      </w:r>
      <w:r w:rsidR="00E71E45" w:rsidRPr="004033B1">
        <w:rPr>
          <w:rFonts w:eastAsiaTheme="minorHAnsi"/>
          <w:lang w:val="en-US" w:eastAsia="en-US"/>
        </w:rPr>
        <w:t xml:space="preserve"> True</w:t>
      </w:r>
      <w:r w:rsidR="00191F48">
        <w:rPr>
          <w:rFonts w:eastAsiaTheme="minorHAnsi"/>
          <w:lang w:val="en-US" w:eastAsia="en-US"/>
        </w:rPr>
        <w:t xml:space="preserve"> is</w:t>
      </w:r>
      <w:r w:rsidR="00E71E45" w:rsidRPr="004033B1">
        <w:rPr>
          <w:rFonts w:eastAsiaTheme="minorHAnsi"/>
          <w:lang w:val="en-US" w:eastAsia="en-US"/>
        </w:rPr>
        <w:t xml:space="preserve">, </w:t>
      </w:r>
      <w:r w:rsidR="00175AE3">
        <w:rPr>
          <w:rFonts w:eastAsiaTheme="minorHAnsi"/>
          <w:lang w:val="en-US" w:eastAsia="en-US"/>
        </w:rPr>
        <w:t xml:space="preserve">that </w:t>
      </w:r>
      <w:r w:rsidR="00E71E45" w:rsidRPr="004033B1">
        <w:rPr>
          <w:rFonts w:eastAsiaTheme="minorHAnsi"/>
          <w:lang w:val="en-US" w:eastAsia="en-US"/>
        </w:rPr>
        <w:t>what he was advocating for was  “smart militant democracy,” militant towards organized forms of terrorism, but  “smart” and responsive to fundamental democratic values</w:t>
      </w:r>
      <w:r w:rsidR="00191F48">
        <w:rPr>
          <w:rFonts w:eastAsiaTheme="minorHAnsi"/>
          <w:lang w:val="en-US" w:eastAsia="en-US"/>
        </w:rPr>
        <w:t xml:space="preserve">, including </w:t>
      </w:r>
      <w:r w:rsidR="00E71E45" w:rsidRPr="004033B1">
        <w:rPr>
          <w:rFonts w:eastAsiaTheme="minorHAnsi"/>
          <w:lang w:val="en-US" w:eastAsia="en-US"/>
        </w:rPr>
        <w:t>individual rights</w:t>
      </w:r>
      <w:r w:rsidR="00191F48">
        <w:rPr>
          <w:rFonts w:eastAsiaTheme="minorHAnsi"/>
          <w:lang w:val="en-US" w:eastAsia="en-US"/>
        </w:rPr>
        <w:t>, in order</w:t>
      </w:r>
      <w:r w:rsidR="00E71E45" w:rsidRPr="004033B1">
        <w:rPr>
          <w:rFonts w:eastAsiaTheme="minorHAnsi"/>
          <w:lang w:val="en-US" w:eastAsia="en-US"/>
        </w:rPr>
        <w:t xml:space="preserve"> to avoid dehumanization and delegitimization of the state actions.</w:t>
      </w:r>
      <w:r w:rsidR="001F37A7" w:rsidRPr="004033B1">
        <w:rPr>
          <w:rFonts w:eastAsiaTheme="minorHAnsi"/>
          <w:lang w:val="en-US" w:eastAsia="en-US"/>
        </w:rPr>
        <w:t xml:space="preserve"> </w:t>
      </w:r>
    </w:p>
    <w:p w14:paraId="224B7574" w14:textId="36B13F94" w:rsidR="001500EA" w:rsidRPr="004033B1" w:rsidRDefault="001500EA" w:rsidP="001500EA">
      <w:pPr>
        <w:autoSpaceDE w:val="0"/>
        <w:autoSpaceDN w:val="0"/>
        <w:adjustRightInd w:val="0"/>
        <w:spacing w:line="360" w:lineRule="auto"/>
        <w:ind w:firstLine="720"/>
        <w:jc w:val="both"/>
        <w:rPr>
          <w:rFonts w:eastAsiaTheme="minorHAnsi"/>
          <w:lang w:val="en-US" w:eastAsia="en-US"/>
        </w:rPr>
      </w:pPr>
      <w:r w:rsidRPr="004033B1">
        <w:rPr>
          <w:lang w:val="en-US"/>
        </w:rPr>
        <w:t>While in many respects terrorism, either international or domestic, represents a significant threat to democracy, state responses</w:t>
      </w:r>
      <w:r w:rsidR="00E55C19">
        <w:rPr>
          <w:lang w:val="en-US"/>
        </w:rPr>
        <w:t xml:space="preserve"> to terrorism</w:t>
      </w:r>
      <w:r w:rsidRPr="004033B1">
        <w:rPr>
          <w:lang w:val="en-US"/>
        </w:rPr>
        <w:t xml:space="preserve">, however militant and suppressive towards fundamental rights, should not be equated with </w:t>
      </w:r>
      <w:r w:rsidR="00175AE3">
        <w:rPr>
          <w:lang w:val="en-US"/>
        </w:rPr>
        <w:t xml:space="preserve">the </w:t>
      </w:r>
      <w:r w:rsidRPr="004033B1">
        <w:rPr>
          <w:lang w:val="en-US"/>
        </w:rPr>
        <w:t>militant democracy. In other words, although in both cases it looks like ‘fire is fought with fire’ (Loewenstein), fires are not the same, either offensive or defensive. The fact that militant democracy and the state anti-terroris</w:t>
      </w:r>
      <w:r w:rsidR="00EB3D60">
        <w:rPr>
          <w:lang w:val="en-US"/>
        </w:rPr>
        <w:t>t</w:t>
      </w:r>
      <w:r w:rsidRPr="004033B1">
        <w:rPr>
          <w:lang w:val="en-US"/>
        </w:rPr>
        <w:t xml:space="preserve"> measures do not treat liberty as an absolute value does not prove that we deal with the same or </w:t>
      </w:r>
      <w:r w:rsidR="00175AE3">
        <w:rPr>
          <w:lang w:val="en-US"/>
        </w:rPr>
        <w:t xml:space="preserve">similar </w:t>
      </w:r>
      <w:r w:rsidRPr="004033B1">
        <w:rPr>
          <w:lang w:val="en-US"/>
        </w:rPr>
        <w:t>phenomenon. True</w:t>
      </w:r>
      <w:r w:rsidR="00E55C19">
        <w:rPr>
          <w:lang w:val="en-US"/>
        </w:rPr>
        <w:t xml:space="preserve"> is</w:t>
      </w:r>
      <w:r w:rsidRPr="004033B1">
        <w:rPr>
          <w:lang w:val="en-US"/>
        </w:rPr>
        <w:t xml:space="preserve">, the principal dilemma of whether democracy can fight anti-democratic movements, </w:t>
      </w:r>
      <w:r w:rsidR="00E84153">
        <w:rPr>
          <w:lang w:val="en-US"/>
        </w:rPr>
        <w:t xml:space="preserve">far-right </w:t>
      </w:r>
      <w:r w:rsidRPr="004033B1">
        <w:rPr>
          <w:lang w:val="en-US"/>
        </w:rPr>
        <w:t>political parties, and terrorist organizations </w:t>
      </w:r>
      <w:r w:rsidRPr="00E55C19">
        <w:rPr>
          <w:rStyle w:val="Emphasis"/>
          <w:i w:val="0"/>
          <w:iCs w:val="0"/>
          <w:color w:val="0E101A"/>
          <w:lang w:val="en-US"/>
        </w:rPr>
        <w:t>within the rule of law</w:t>
      </w:r>
      <w:r w:rsidR="00175AE3">
        <w:rPr>
          <w:rStyle w:val="Emphasis"/>
          <w:i w:val="0"/>
          <w:iCs w:val="0"/>
          <w:color w:val="0E101A"/>
          <w:lang w:val="en-US"/>
        </w:rPr>
        <w:t>,</w:t>
      </w:r>
      <w:r w:rsidRPr="004033B1">
        <w:rPr>
          <w:lang w:val="en-US"/>
        </w:rPr>
        <w:t> can blur the difference. But then again, the</w:t>
      </w:r>
      <w:r w:rsidR="00175AE3">
        <w:rPr>
          <w:lang w:val="en-US"/>
        </w:rPr>
        <w:t>re</w:t>
      </w:r>
      <w:r w:rsidRPr="004033B1">
        <w:rPr>
          <w:lang w:val="en-US"/>
        </w:rPr>
        <w:t xml:space="preserve"> are many differences. </w:t>
      </w:r>
    </w:p>
    <w:p w14:paraId="5742F48D" w14:textId="77777777" w:rsidR="00EB3D60" w:rsidRDefault="00F62DF1" w:rsidP="001500EA">
      <w:pPr>
        <w:autoSpaceDE w:val="0"/>
        <w:autoSpaceDN w:val="0"/>
        <w:adjustRightInd w:val="0"/>
        <w:spacing w:line="360" w:lineRule="auto"/>
        <w:ind w:firstLine="720"/>
        <w:jc w:val="both"/>
        <w:rPr>
          <w:lang w:val="en-US"/>
        </w:rPr>
      </w:pPr>
      <w:r w:rsidRPr="004033B1">
        <w:rPr>
          <w:lang w:val="en-US"/>
        </w:rPr>
        <w:t xml:space="preserve">Recall </w:t>
      </w:r>
      <w:r w:rsidR="00A90930" w:rsidRPr="004033B1">
        <w:rPr>
          <w:lang w:val="en-US"/>
        </w:rPr>
        <w:t xml:space="preserve">again </w:t>
      </w:r>
      <w:r w:rsidRPr="004033B1">
        <w:rPr>
          <w:lang w:val="en-US"/>
        </w:rPr>
        <w:t xml:space="preserve">what militant democracy is about. </w:t>
      </w:r>
      <w:r w:rsidR="00833633" w:rsidRPr="004033B1">
        <w:rPr>
          <w:lang w:val="en-US"/>
        </w:rPr>
        <w:t xml:space="preserve">In </w:t>
      </w:r>
      <w:r w:rsidR="001500EA" w:rsidRPr="004033B1">
        <w:rPr>
          <w:lang w:val="en-US"/>
        </w:rPr>
        <w:t>Stephen Holmes</w:t>
      </w:r>
      <w:r w:rsidR="00833633" w:rsidRPr="004033B1">
        <w:rPr>
          <w:lang w:val="en-US"/>
        </w:rPr>
        <w:t>’ views,</w:t>
      </w:r>
      <w:r w:rsidR="001500EA" w:rsidRPr="004033B1">
        <w:rPr>
          <w:lang w:val="en-US"/>
        </w:rPr>
        <w:t xml:space="preserve"> militant democracy “refers to the capacity of modern constitutional democracies to defend themselves against </w:t>
      </w:r>
      <w:r w:rsidR="001500EA" w:rsidRPr="00E84153">
        <w:rPr>
          <w:rStyle w:val="Emphasis"/>
          <w:i w:val="0"/>
          <w:iCs w:val="0"/>
          <w:color w:val="0E101A"/>
          <w:lang w:val="en-US"/>
        </w:rPr>
        <w:t>domestic</w:t>
      </w:r>
      <w:r w:rsidR="00E84153">
        <w:rPr>
          <w:rStyle w:val="Emphasis"/>
          <w:i w:val="0"/>
          <w:iCs w:val="0"/>
          <w:color w:val="0E101A"/>
          <w:lang w:val="en-US"/>
        </w:rPr>
        <w:t xml:space="preserve"> </w:t>
      </w:r>
      <w:r w:rsidR="001500EA" w:rsidRPr="00E84153">
        <w:rPr>
          <w:rStyle w:val="Emphasis"/>
          <w:i w:val="0"/>
          <w:iCs w:val="0"/>
          <w:color w:val="0E101A"/>
          <w:lang w:val="en-US"/>
        </w:rPr>
        <w:t>political challenges</w:t>
      </w:r>
      <w:r w:rsidR="001500EA" w:rsidRPr="004033B1">
        <w:rPr>
          <w:lang w:val="en-US"/>
        </w:rPr>
        <w:t> to their continued existence.”</w:t>
      </w:r>
      <w:r w:rsidR="00E30C0F">
        <w:rPr>
          <w:rStyle w:val="FootnoteReference"/>
          <w:lang w:val="en-US"/>
        </w:rPr>
        <w:footnoteReference w:id="41"/>
      </w:r>
      <w:r w:rsidR="001500EA" w:rsidRPr="004033B1">
        <w:rPr>
          <w:lang w:val="en-US"/>
        </w:rPr>
        <w:t xml:space="preserve"> Holmes’ definition implies that</w:t>
      </w:r>
      <w:r w:rsidRPr="004033B1">
        <w:rPr>
          <w:lang w:val="en-US"/>
        </w:rPr>
        <w:t>:</w:t>
      </w:r>
      <w:r w:rsidR="001500EA" w:rsidRPr="004033B1">
        <w:rPr>
          <w:lang w:val="en-US"/>
        </w:rPr>
        <w:t xml:space="preserve"> (a) militant democracy addresses democratic self-defense in cases </w:t>
      </w:r>
      <w:r w:rsidR="00833633" w:rsidRPr="004033B1">
        <w:rPr>
          <w:lang w:val="en-US"/>
        </w:rPr>
        <w:t xml:space="preserve">when </w:t>
      </w:r>
      <w:r w:rsidR="001500EA" w:rsidRPr="004033B1">
        <w:rPr>
          <w:lang w:val="en-US"/>
        </w:rPr>
        <w:t xml:space="preserve">attacks on democracy </w:t>
      </w:r>
      <w:r w:rsidR="00E84153">
        <w:rPr>
          <w:lang w:val="en-US"/>
        </w:rPr>
        <w:t xml:space="preserve">are of political rather than violent nature prohibited under </w:t>
      </w:r>
      <w:r w:rsidR="001500EA" w:rsidRPr="004033B1">
        <w:rPr>
          <w:lang w:val="en-US"/>
        </w:rPr>
        <w:t xml:space="preserve">criminal law and; (b) that </w:t>
      </w:r>
      <w:r w:rsidR="00EB3D60">
        <w:rPr>
          <w:lang w:val="en-US"/>
        </w:rPr>
        <w:t>militant democracy</w:t>
      </w:r>
      <w:r w:rsidR="001500EA" w:rsidRPr="004033B1">
        <w:rPr>
          <w:lang w:val="en-US"/>
        </w:rPr>
        <w:t xml:space="preserve"> deals with domestic and not international challenges to constitutional democratic orders. </w:t>
      </w:r>
    </w:p>
    <w:p w14:paraId="2C87021F" w14:textId="48E0EAAE" w:rsidR="00E31626" w:rsidRPr="00EB3D60" w:rsidRDefault="001500EA" w:rsidP="00EB3D60">
      <w:pPr>
        <w:autoSpaceDE w:val="0"/>
        <w:autoSpaceDN w:val="0"/>
        <w:adjustRightInd w:val="0"/>
        <w:spacing w:line="360" w:lineRule="auto"/>
        <w:ind w:firstLine="720"/>
        <w:jc w:val="both"/>
        <w:rPr>
          <w:lang w:val="en-US"/>
        </w:rPr>
      </w:pPr>
      <w:r w:rsidRPr="004033B1">
        <w:rPr>
          <w:lang w:val="en-US"/>
        </w:rPr>
        <w:t xml:space="preserve">As I have already emphasized, defending </w:t>
      </w:r>
      <w:r w:rsidR="00F62DF1" w:rsidRPr="004033B1">
        <w:rPr>
          <w:lang w:val="en-US"/>
        </w:rPr>
        <w:t>democratic measures</w:t>
      </w:r>
      <w:r w:rsidRPr="004033B1">
        <w:rPr>
          <w:lang w:val="en-US"/>
        </w:rPr>
        <w:t xml:space="preserve"> </w:t>
      </w:r>
      <w:r w:rsidR="000018B4">
        <w:rPr>
          <w:lang w:val="en-US"/>
        </w:rPr>
        <w:t xml:space="preserve">of a militant nature </w:t>
      </w:r>
      <w:r w:rsidRPr="004033B1">
        <w:rPr>
          <w:lang w:val="en-US"/>
        </w:rPr>
        <w:t xml:space="preserve">imply restricting free speech, outlawing hate speech, banning political parties and associations, disqualifying parties from electoral lists, </w:t>
      </w:r>
      <w:r w:rsidR="00E84153">
        <w:rPr>
          <w:lang w:val="en-US"/>
        </w:rPr>
        <w:t xml:space="preserve">securing </w:t>
      </w:r>
      <w:r w:rsidRPr="004033B1">
        <w:rPr>
          <w:lang w:val="en-US"/>
        </w:rPr>
        <w:t>irreversibility of constitutional order, and even civil resistance to defend free democratic order. </w:t>
      </w:r>
      <w:r w:rsidR="00082026" w:rsidRPr="004033B1">
        <w:rPr>
          <w:rFonts w:eastAsiaTheme="minorHAnsi"/>
          <w:lang w:val="en-US" w:eastAsia="en-US"/>
        </w:rPr>
        <w:t xml:space="preserve">Terrorism, </w:t>
      </w:r>
      <w:r w:rsidR="00EB3D60">
        <w:rPr>
          <w:rFonts w:eastAsiaTheme="minorHAnsi"/>
          <w:lang w:val="en-US" w:eastAsia="en-US"/>
        </w:rPr>
        <w:t xml:space="preserve">on the other hand, </w:t>
      </w:r>
      <w:r w:rsidR="00082026" w:rsidRPr="004033B1">
        <w:rPr>
          <w:rFonts w:eastAsiaTheme="minorHAnsi"/>
          <w:lang w:val="en-US" w:eastAsia="en-US"/>
        </w:rPr>
        <w:t xml:space="preserve">represents an </w:t>
      </w:r>
      <w:r w:rsidR="00082026" w:rsidRPr="00E55C19">
        <w:rPr>
          <w:rFonts w:eastAsiaTheme="minorHAnsi"/>
          <w:lang w:val="en-US" w:eastAsia="en-US"/>
        </w:rPr>
        <w:t>act of violence</w:t>
      </w:r>
      <w:r w:rsidR="00082026" w:rsidRPr="004033B1">
        <w:rPr>
          <w:rFonts w:eastAsiaTheme="minorHAnsi"/>
          <w:lang w:val="en-US" w:eastAsia="en-US"/>
        </w:rPr>
        <w:t>, incriminated as domestic terrorism, international terrorism</w:t>
      </w:r>
      <w:r w:rsidRPr="004033B1">
        <w:rPr>
          <w:rFonts w:eastAsiaTheme="minorHAnsi"/>
          <w:lang w:val="en-US" w:eastAsia="en-US"/>
        </w:rPr>
        <w:t>,</w:t>
      </w:r>
      <w:r w:rsidR="00082026" w:rsidRPr="004033B1">
        <w:rPr>
          <w:rFonts w:eastAsiaTheme="minorHAnsi"/>
          <w:lang w:val="en-US" w:eastAsia="en-US"/>
        </w:rPr>
        <w:t xml:space="preserve"> and terrorism as a war crime.</w:t>
      </w:r>
      <w:r w:rsidR="00C335BE" w:rsidRPr="004033B1">
        <w:rPr>
          <w:rStyle w:val="FootnoteReference"/>
          <w:rFonts w:eastAsiaTheme="minorHAnsi"/>
          <w:lang w:val="en-US" w:eastAsia="en-US"/>
        </w:rPr>
        <w:footnoteReference w:id="42"/>
      </w:r>
      <w:r w:rsidRPr="004033B1">
        <w:rPr>
          <w:color w:val="0E101A"/>
          <w:lang w:val="en-US"/>
        </w:rPr>
        <w:t xml:space="preserve"> Being a crime imputing individual criminal responsibility, the state responses are covered in criminal and administrative law and include deprivation of liberty, surveillance, </w:t>
      </w:r>
      <w:r w:rsidRPr="004033B1">
        <w:rPr>
          <w:color w:val="0E101A"/>
          <w:lang w:val="en-US"/>
        </w:rPr>
        <w:lastRenderedPageBreak/>
        <w:t xml:space="preserve">extradition, denial of some due process rights, restrictions on freedom of movement, etc. Even if some measures coincide, like </w:t>
      </w:r>
      <w:r w:rsidR="00374839">
        <w:rPr>
          <w:color w:val="0E101A"/>
          <w:lang w:val="en-US"/>
        </w:rPr>
        <w:t xml:space="preserve">the </w:t>
      </w:r>
      <w:r w:rsidRPr="004033B1">
        <w:rPr>
          <w:color w:val="0E101A"/>
          <w:lang w:val="en-US"/>
        </w:rPr>
        <w:t xml:space="preserve">free speech or religious rights restrictions, this is insufficient to assert or draw an analogy between militant democracy and criminal prosecution, as </w:t>
      </w:r>
      <w:r w:rsidR="009D666A">
        <w:rPr>
          <w:color w:val="0E101A"/>
          <w:lang w:val="en-US"/>
        </w:rPr>
        <w:t xml:space="preserve">the </w:t>
      </w:r>
      <w:r w:rsidRPr="004033B1">
        <w:rPr>
          <w:color w:val="0E101A"/>
          <w:lang w:val="en-US"/>
        </w:rPr>
        <w:t>militant democracy</w:t>
      </w:r>
      <w:r w:rsidR="007873BA">
        <w:rPr>
          <w:color w:val="0E101A"/>
          <w:lang w:val="en-US"/>
        </w:rPr>
        <w:t>, by default</w:t>
      </w:r>
      <w:r w:rsidRPr="004033B1">
        <w:rPr>
          <w:color w:val="0E101A"/>
          <w:lang w:val="en-US"/>
        </w:rPr>
        <w:t xml:space="preserve"> does not cover illegal acts </w:t>
      </w:r>
      <w:r w:rsidR="00833633" w:rsidRPr="004033B1">
        <w:rPr>
          <w:color w:val="0E101A"/>
          <w:lang w:val="en-US"/>
        </w:rPr>
        <w:t xml:space="preserve">under </w:t>
      </w:r>
      <w:r w:rsidRPr="004033B1">
        <w:rPr>
          <w:color w:val="0E101A"/>
          <w:lang w:val="en-US"/>
        </w:rPr>
        <w:t>criminal law</w:t>
      </w:r>
      <w:r w:rsidR="007873BA">
        <w:rPr>
          <w:color w:val="0E101A"/>
          <w:lang w:val="en-US"/>
        </w:rPr>
        <w:t xml:space="preserve"> (hate speech being a prominent exception)</w:t>
      </w:r>
      <w:r w:rsidRPr="004033B1">
        <w:rPr>
          <w:color w:val="0E101A"/>
          <w:lang w:val="en-US"/>
        </w:rPr>
        <w:t>.</w:t>
      </w:r>
      <w:r w:rsidR="00CD105B">
        <w:rPr>
          <w:rStyle w:val="FootnoteReference"/>
          <w:color w:val="0E101A"/>
          <w:lang w:val="en-US"/>
        </w:rPr>
        <w:footnoteReference w:id="43"/>
      </w:r>
      <w:r w:rsidRPr="004033B1">
        <w:rPr>
          <w:color w:val="0E101A"/>
          <w:lang w:val="en-US"/>
        </w:rPr>
        <w:t xml:space="preserve"> Terrorism might or might not be politically motivated, which is irrelevant for its criminal persecution, while essential for militant democracy to be activated is the political aspiration to destroy democracy. </w:t>
      </w:r>
      <w:r w:rsidR="00E55C19">
        <w:rPr>
          <w:color w:val="0E101A"/>
          <w:lang w:val="en-US"/>
        </w:rPr>
        <w:t>Furthermore, s</w:t>
      </w:r>
      <w:r w:rsidRPr="004033B1">
        <w:rPr>
          <w:color w:val="0E101A"/>
          <w:lang w:val="en-US"/>
        </w:rPr>
        <w:t xml:space="preserve">ubjects </w:t>
      </w:r>
      <w:r w:rsidR="00E55C19">
        <w:rPr>
          <w:color w:val="0E101A"/>
          <w:lang w:val="en-US"/>
        </w:rPr>
        <w:t xml:space="preserve">exposed </w:t>
      </w:r>
      <w:r w:rsidRPr="004033B1">
        <w:rPr>
          <w:color w:val="0E101A"/>
          <w:lang w:val="en-US"/>
        </w:rPr>
        <w:t>to (violent) emotionalism differ, as well as the</w:t>
      </w:r>
      <w:r w:rsidR="00E55C19">
        <w:rPr>
          <w:color w:val="0E101A"/>
          <w:lang w:val="en-US"/>
        </w:rPr>
        <w:t xml:space="preserve"> purposes of the threats.</w:t>
      </w:r>
      <w:r w:rsidRPr="004033B1">
        <w:rPr>
          <w:color w:val="0E101A"/>
          <w:lang w:val="en-US"/>
        </w:rPr>
        <w:t xml:space="preserve"> </w:t>
      </w:r>
      <w:r w:rsidR="00F62DF1" w:rsidRPr="004033B1">
        <w:rPr>
          <w:color w:val="0E101A"/>
          <w:lang w:val="en-US"/>
        </w:rPr>
        <w:t>International t</w:t>
      </w:r>
      <w:r w:rsidRPr="004033B1">
        <w:rPr>
          <w:color w:val="0E101A"/>
          <w:lang w:val="en-US"/>
        </w:rPr>
        <w:t>errorism might be instituted against the civilian population, government, or an international organization, not solely against “free democratic order.”</w:t>
      </w:r>
      <w:r w:rsidR="00AA3163">
        <w:rPr>
          <w:rStyle w:val="FootnoteReference"/>
          <w:color w:val="0E101A"/>
          <w:lang w:val="en-US"/>
        </w:rPr>
        <w:footnoteReference w:id="44"/>
      </w:r>
      <w:r w:rsidRPr="004033B1">
        <w:rPr>
          <w:color w:val="0E101A"/>
          <w:lang w:val="en-US"/>
        </w:rPr>
        <w:t xml:space="preserve"> Recall here that the purpose of acts amounting to </w:t>
      </w:r>
      <w:r w:rsidR="00F62DF1" w:rsidRPr="004033B1">
        <w:rPr>
          <w:color w:val="0E101A"/>
          <w:lang w:val="en-US"/>
        </w:rPr>
        <w:t xml:space="preserve">international </w:t>
      </w:r>
      <w:r w:rsidRPr="004033B1">
        <w:rPr>
          <w:color w:val="0E101A"/>
          <w:lang w:val="en-US"/>
        </w:rPr>
        <w:t xml:space="preserve">terrorism is to intimidate a population or to compel a government or an international organization to a specific behavior utilizing violent actions (e.g., murder, kidnapping, hostage-taking, extortion, bombing, torture, etc.), and not to destroy democracy by exploiting democratic instrumentalities. Moreover, international </w:t>
      </w:r>
      <w:r w:rsidR="00F62DF1" w:rsidRPr="004033B1">
        <w:rPr>
          <w:color w:val="0E101A"/>
          <w:lang w:val="en-US"/>
        </w:rPr>
        <w:t>terrorism</w:t>
      </w:r>
      <w:r w:rsidR="000018B4">
        <w:rPr>
          <w:color w:val="0E101A"/>
          <w:lang w:val="en-US"/>
        </w:rPr>
        <w:t xml:space="preserve"> is</w:t>
      </w:r>
      <w:r w:rsidRPr="004033B1">
        <w:rPr>
          <w:color w:val="0E101A"/>
          <w:lang w:val="en-US"/>
        </w:rPr>
        <w:t xml:space="preserve"> identified as “a threat to international peace and security”</w:t>
      </w:r>
      <w:r w:rsidRPr="004033B1">
        <w:rPr>
          <w:rStyle w:val="FootnoteReference"/>
          <w:color w:val="0E101A"/>
          <w:lang w:val="en-US"/>
        </w:rPr>
        <w:footnoteReference w:id="45"/>
      </w:r>
      <w:r w:rsidRPr="004033B1">
        <w:rPr>
          <w:color w:val="0E101A"/>
          <w:lang w:val="en-US"/>
        </w:rPr>
        <w:t xml:space="preserve"> and not as a threat to the continued existence of constitutional democracy</w:t>
      </w:r>
      <w:r w:rsidR="000018B4">
        <w:rPr>
          <w:color w:val="0E101A"/>
          <w:lang w:val="en-US"/>
        </w:rPr>
        <w:t>,</w:t>
      </w:r>
      <w:r w:rsidR="009D666A">
        <w:rPr>
          <w:color w:val="0E101A"/>
          <w:lang w:val="en-US"/>
        </w:rPr>
        <w:t xml:space="preserve"> </w:t>
      </w:r>
      <w:r w:rsidR="000018B4">
        <w:rPr>
          <w:color w:val="0E101A"/>
          <w:lang w:val="en-US"/>
        </w:rPr>
        <w:t xml:space="preserve">which requires </w:t>
      </w:r>
      <w:r w:rsidR="00F62DF1" w:rsidRPr="004033B1">
        <w:rPr>
          <w:color w:val="0E101A"/>
          <w:lang w:val="en-US"/>
        </w:rPr>
        <w:t>the activation of militant democracy</w:t>
      </w:r>
      <w:r w:rsidR="00E55C19">
        <w:rPr>
          <w:color w:val="0E101A"/>
          <w:lang w:val="en-US"/>
        </w:rPr>
        <w:t xml:space="preserve">. </w:t>
      </w:r>
    </w:p>
    <w:p w14:paraId="3DD9B449" w14:textId="1A8C9977" w:rsidR="00B22DC3" w:rsidRPr="004033B1" w:rsidRDefault="00E31626" w:rsidP="00E31626">
      <w:pPr>
        <w:autoSpaceDE w:val="0"/>
        <w:autoSpaceDN w:val="0"/>
        <w:adjustRightInd w:val="0"/>
        <w:spacing w:line="360" w:lineRule="auto"/>
        <w:ind w:firstLine="720"/>
        <w:jc w:val="both"/>
        <w:rPr>
          <w:color w:val="0E101A"/>
          <w:lang w:val="en-US"/>
        </w:rPr>
      </w:pPr>
      <w:r>
        <w:rPr>
          <w:lang w:val="en-US"/>
        </w:rPr>
        <w:t>T</w:t>
      </w:r>
      <w:r>
        <w:t xml:space="preserve">he historical perspective offers yet another difference. Militant democracy was developed to fight against internal secular totalitarian movements, and therefore a strategy to justify ‘war against terrorism’ targeting religious fundamentalist movements under the concept of militant democracy was wrong. Even if in the meantime the circumstances have changed, at the time when </w:t>
      </w:r>
      <w:r w:rsidR="009D666A">
        <w:t xml:space="preserve">the </w:t>
      </w:r>
      <w:r>
        <w:t>‘war on terrorism</w:t>
      </w:r>
      <w:r w:rsidR="00EB3D60">
        <w:rPr>
          <w:lang w:val="en-US"/>
        </w:rPr>
        <w:t>’</w:t>
      </w:r>
      <w:r>
        <w:t xml:space="preserve"> was at its peak, hardly any political wing or association of Al-Qaida or another fundamental religious movement were active in the US or other targeted countries to the extent that they could </w:t>
      </w:r>
      <w:r w:rsidR="009D666A">
        <w:t>be</w:t>
      </w:r>
      <w:r>
        <w:t xml:space="preserve"> labeled </w:t>
      </w:r>
      <w:r w:rsidRPr="00E51254">
        <w:rPr>
          <w:rStyle w:val="Emphasis"/>
          <w:i w:val="0"/>
          <w:iCs w:val="0"/>
          <w:color w:val="0E101A"/>
        </w:rPr>
        <w:t>an internal enemy</w:t>
      </w:r>
      <w:r>
        <w:t xml:space="preserve"> for </w:t>
      </w:r>
      <w:r w:rsidR="009D666A">
        <w:t xml:space="preserve">the </w:t>
      </w:r>
      <w:r>
        <w:t>militant democracy purposes</w:t>
      </w:r>
      <w:r>
        <w:rPr>
          <w:color w:val="0E101A"/>
          <w:lang w:val="en-US"/>
        </w:rPr>
        <w:t>.</w:t>
      </w:r>
      <w:r w:rsidR="0058671E">
        <w:rPr>
          <w:rStyle w:val="FootnoteReference"/>
          <w:color w:val="0E101A"/>
          <w:lang w:val="en-US"/>
        </w:rPr>
        <w:footnoteReference w:id="46"/>
      </w:r>
      <w:r w:rsidR="001500EA" w:rsidRPr="004033B1">
        <w:rPr>
          <w:color w:val="0E101A"/>
          <w:lang w:val="en-US"/>
        </w:rPr>
        <w:t> </w:t>
      </w:r>
    </w:p>
    <w:p w14:paraId="7514D0CC" w14:textId="019B3531" w:rsidR="00F625BB" w:rsidRPr="004033B1" w:rsidRDefault="00833633" w:rsidP="00E26D4D">
      <w:pPr>
        <w:autoSpaceDE w:val="0"/>
        <w:autoSpaceDN w:val="0"/>
        <w:adjustRightInd w:val="0"/>
        <w:spacing w:line="360" w:lineRule="auto"/>
        <w:ind w:firstLine="720"/>
        <w:jc w:val="both"/>
        <w:rPr>
          <w:color w:val="0E101A"/>
          <w:lang w:val="en-US"/>
        </w:rPr>
      </w:pPr>
      <w:r w:rsidRPr="004033B1">
        <w:rPr>
          <w:color w:val="0E101A"/>
          <w:lang w:val="en-US"/>
        </w:rPr>
        <w:t xml:space="preserve">Now, </w:t>
      </w:r>
      <w:r w:rsidR="00F625BB" w:rsidRPr="004033B1">
        <w:rPr>
          <w:color w:val="0E101A"/>
          <w:lang w:val="en-US"/>
        </w:rPr>
        <w:t>it may be</w:t>
      </w:r>
      <w:r w:rsidRPr="004033B1">
        <w:rPr>
          <w:color w:val="0E101A"/>
          <w:lang w:val="en-US"/>
        </w:rPr>
        <w:t xml:space="preserve"> cl</w:t>
      </w:r>
      <w:r w:rsidR="004D4101" w:rsidRPr="004033B1">
        <w:rPr>
          <w:color w:val="0E101A"/>
          <w:lang w:val="en-US"/>
        </w:rPr>
        <w:t>aim</w:t>
      </w:r>
      <w:r w:rsidR="00F625BB" w:rsidRPr="004033B1">
        <w:rPr>
          <w:color w:val="0E101A"/>
          <w:lang w:val="en-US"/>
        </w:rPr>
        <w:t>ed</w:t>
      </w:r>
      <w:r w:rsidR="004D4101" w:rsidRPr="004033B1">
        <w:rPr>
          <w:color w:val="0E101A"/>
          <w:lang w:val="en-US"/>
        </w:rPr>
        <w:t xml:space="preserve"> </w:t>
      </w:r>
      <w:r w:rsidRPr="004033B1">
        <w:rPr>
          <w:color w:val="0E101A"/>
          <w:lang w:val="en-US"/>
        </w:rPr>
        <w:t xml:space="preserve">that domestic terrorism is more worrying for a continued existence of </w:t>
      </w:r>
      <w:r w:rsidR="004D4101" w:rsidRPr="004033B1">
        <w:rPr>
          <w:color w:val="0E101A"/>
          <w:lang w:val="en-US"/>
        </w:rPr>
        <w:t>democratic</w:t>
      </w:r>
      <w:r w:rsidR="00F625BB" w:rsidRPr="004033B1">
        <w:rPr>
          <w:color w:val="0E101A"/>
          <w:lang w:val="en-US"/>
        </w:rPr>
        <w:t xml:space="preserve"> order, </w:t>
      </w:r>
      <w:r w:rsidR="009A3E88" w:rsidRPr="004033B1">
        <w:rPr>
          <w:color w:val="0E101A"/>
          <w:lang w:val="en-US"/>
        </w:rPr>
        <w:t xml:space="preserve">than international terrorism, </w:t>
      </w:r>
      <w:r w:rsidR="004D4101" w:rsidRPr="004033B1">
        <w:rPr>
          <w:color w:val="0E101A"/>
          <w:lang w:val="en-US"/>
        </w:rPr>
        <w:t xml:space="preserve">especially </w:t>
      </w:r>
      <w:r w:rsidR="007C6550" w:rsidRPr="004033B1">
        <w:rPr>
          <w:color w:val="0E101A"/>
          <w:lang w:val="en-US"/>
        </w:rPr>
        <w:t xml:space="preserve">if linked with </w:t>
      </w:r>
      <w:r w:rsidR="004D4101" w:rsidRPr="004033B1">
        <w:rPr>
          <w:color w:val="0E101A"/>
          <w:lang w:val="en-US"/>
        </w:rPr>
        <w:t xml:space="preserve">a political </w:t>
      </w:r>
      <w:r w:rsidR="004D4101" w:rsidRPr="004033B1">
        <w:rPr>
          <w:color w:val="0E101A"/>
          <w:lang w:val="en-US"/>
        </w:rPr>
        <w:lastRenderedPageBreak/>
        <w:t xml:space="preserve">party </w:t>
      </w:r>
      <w:r w:rsidR="00EF37A6" w:rsidRPr="004033B1">
        <w:rPr>
          <w:color w:val="0E101A"/>
          <w:lang w:val="en-US"/>
        </w:rPr>
        <w:t xml:space="preserve">which </w:t>
      </w:r>
      <w:r w:rsidR="004D4101" w:rsidRPr="004033B1">
        <w:rPr>
          <w:color w:val="0E101A"/>
          <w:lang w:val="en-US"/>
        </w:rPr>
        <w:t xml:space="preserve">defends </w:t>
      </w:r>
      <w:r w:rsidR="00E975B6" w:rsidRPr="004033B1">
        <w:rPr>
          <w:color w:val="0E101A"/>
          <w:lang w:val="en-US"/>
        </w:rPr>
        <w:t xml:space="preserve">or excuses </w:t>
      </w:r>
      <w:r w:rsidR="004D4101" w:rsidRPr="004033B1">
        <w:rPr>
          <w:color w:val="0E101A"/>
          <w:lang w:val="en-US"/>
        </w:rPr>
        <w:t>terrorist strategy</w:t>
      </w:r>
      <w:r w:rsidR="00E975B6" w:rsidRPr="004033B1">
        <w:rPr>
          <w:color w:val="0E101A"/>
          <w:lang w:val="en-US"/>
        </w:rPr>
        <w:t xml:space="preserve">. </w:t>
      </w:r>
      <w:r w:rsidR="00EF37A6" w:rsidRPr="004033B1">
        <w:rPr>
          <w:color w:val="0E101A"/>
          <w:lang w:val="en-US"/>
        </w:rPr>
        <w:t xml:space="preserve">To defend democracy, a state </w:t>
      </w:r>
      <w:r w:rsidR="00F625BB" w:rsidRPr="004033B1">
        <w:rPr>
          <w:color w:val="0E101A"/>
          <w:lang w:val="en-US"/>
        </w:rPr>
        <w:t xml:space="preserve">may resort to the most comprehensive and effective measure and prohibit the subversive party. </w:t>
      </w:r>
      <w:r w:rsidR="003B7961" w:rsidRPr="004033B1">
        <w:rPr>
          <w:color w:val="0E101A"/>
          <w:lang w:val="en-US"/>
        </w:rPr>
        <w:t xml:space="preserve">But then again, the prohibition by default springs from constitutional law, not from criminal law, although </w:t>
      </w:r>
      <w:r w:rsidR="00E26D4D" w:rsidRPr="004033B1">
        <w:rPr>
          <w:color w:val="0E101A"/>
          <w:lang w:val="en-US"/>
        </w:rPr>
        <w:t xml:space="preserve">for the prohibition </w:t>
      </w:r>
      <w:r w:rsidR="003B7961" w:rsidRPr="004033B1">
        <w:rPr>
          <w:color w:val="0E101A"/>
          <w:lang w:val="en-US"/>
        </w:rPr>
        <w:t>some indication of criminal activity may be</w:t>
      </w:r>
      <w:r w:rsidR="00E26D4D" w:rsidRPr="004033B1">
        <w:rPr>
          <w:color w:val="0E101A"/>
          <w:lang w:val="en-US"/>
        </w:rPr>
        <w:t xml:space="preserve"> requested.</w:t>
      </w:r>
      <w:r w:rsidR="003B7961" w:rsidRPr="004033B1">
        <w:rPr>
          <w:color w:val="0E101A"/>
          <w:lang w:val="en-US"/>
        </w:rPr>
        <w:t xml:space="preserve"> </w:t>
      </w:r>
      <w:r w:rsidR="00E26D4D" w:rsidRPr="004033B1">
        <w:rPr>
          <w:color w:val="0E101A"/>
          <w:lang w:val="en-US"/>
        </w:rPr>
        <w:t xml:space="preserve">A good illustration is the prohibition of </w:t>
      </w:r>
      <w:proofErr w:type="spellStart"/>
      <w:r w:rsidR="00E26D4D" w:rsidRPr="004033B1">
        <w:rPr>
          <w:color w:val="0E101A"/>
          <w:lang w:val="en-US"/>
        </w:rPr>
        <w:t>Batusana</w:t>
      </w:r>
      <w:proofErr w:type="spellEnd"/>
      <w:r w:rsidR="00E26D4D" w:rsidRPr="004033B1">
        <w:rPr>
          <w:color w:val="0E101A"/>
          <w:lang w:val="en-US"/>
        </w:rPr>
        <w:t xml:space="preserve"> party in Spain, which advocated the independence of the Basque Country and had alleged connections with the ETA terrorist group.</w:t>
      </w:r>
      <w:r w:rsidR="006301A1">
        <w:rPr>
          <w:rStyle w:val="FootnoteReference"/>
          <w:color w:val="0E101A"/>
          <w:lang w:val="en-US"/>
        </w:rPr>
        <w:footnoteReference w:id="47"/>
      </w:r>
    </w:p>
    <w:p w14:paraId="6B497426" w14:textId="4DDECB5A" w:rsidR="00A41B4E" w:rsidRPr="004033B1" w:rsidRDefault="004E2F18" w:rsidP="00B22DC3">
      <w:pPr>
        <w:autoSpaceDE w:val="0"/>
        <w:autoSpaceDN w:val="0"/>
        <w:adjustRightInd w:val="0"/>
        <w:spacing w:line="360" w:lineRule="auto"/>
        <w:ind w:firstLine="720"/>
        <w:jc w:val="both"/>
        <w:rPr>
          <w:lang w:val="en-US"/>
        </w:rPr>
      </w:pPr>
      <w:r w:rsidRPr="004033B1">
        <w:rPr>
          <w:color w:val="0E101A"/>
          <w:lang w:val="en-US"/>
        </w:rPr>
        <w:t xml:space="preserve">At the time of </w:t>
      </w:r>
      <w:r w:rsidR="002854B5">
        <w:rPr>
          <w:color w:val="0E101A"/>
          <w:lang w:val="en-US"/>
        </w:rPr>
        <w:t xml:space="preserve">the </w:t>
      </w:r>
      <w:proofErr w:type="spellStart"/>
      <w:r w:rsidRPr="004033B1">
        <w:rPr>
          <w:color w:val="0E101A"/>
          <w:lang w:val="en-US"/>
        </w:rPr>
        <w:t>Batusana</w:t>
      </w:r>
      <w:proofErr w:type="spellEnd"/>
      <w:r w:rsidRPr="004033B1">
        <w:rPr>
          <w:color w:val="0E101A"/>
          <w:lang w:val="en-US"/>
        </w:rPr>
        <w:t xml:space="preserve"> controversy (the beginning of </w:t>
      </w:r>
      <w:r w:rsidR="002854B5">
        <w:rPr>
          <w:color w:val="0E101A"/>
          <w:lang w:val="en-US"/>
        </w:rPr>
        <w:t xml:space="preserve">the </w:t>
      </w:r>
      <w:r w:rsidRPr="004033B1">
        <w:rPr>
          <w:color w:val="0E101A"/>
          <w:lang w:val="en-US"/>
        </w:rPr>
        <w:t>2000s)</w:t>
      </w:r>
      <w:r w:rsidR="002854B5">
        <w:rPr>
          <w:color w:val="0E101A"/>
          <w:lang w:val="en-US"/>
        </w:rPr>
        <w:t>,</w:t>
      </w:r>
      <w:r w:rsidRPr="004033B1">
        <w:rPr>
          <w:color w:val="0E101A"/>
          <w:lang w:val="en-US"/>
        </w:rPr>
        <w:t xml:space="preserve"> </w:t>
      </w:r>
      <w:r w:rsidR="00460562" w:rsidRPr="004033B1">
        <w:rPr>
          <w:color w:val="0E101A"/>
          <w:lang w:val="en-US"/>
        </w:rPr>
        <w:t>it seem</w:t>
      </w:r>
      <w:r w:rsidRPr="004033B1">
        <w:rPr>
          <w:color w:val="0E101A"/>
          <w:lang w:val="en-US"/>
        </w:rPr>
        <w:t>ed</w:t>
      </w:r>
      <w:r w:rsidR="00460562" w:rsidRPr="004033B1">
        <w:rPr>
          <w:color w:val="0E101A"/>
          <w:lang w:val="en-US"/>
        </w:rPr>
        <w:t xml:space="preserve"> that the Spanish Constitution allow</w:t>
      </w:r>
      <w:r w:rsidRPr="004033B1">
        <w:rPr>
          <w:color w:val="0E101A"/>
          <w:lang w:val="en-US"/>
        </w:rPr>
        <w:t>ed</w:t>
      </w:r>
      <w:r w:rsidR="00460562" w:rsidRPr="004033B1">
        <w:rPr>
          <w:color w:val="0E101A"/>
          <w:lang w:val="en-US"/>
        </w:rPr>
        <w:t xml:space="preserve"> </w:t>
      </w:r>
      <w:r w:rsidR="00B22DC3" w:rsidRPr="004033B1">
        <w:rPr>
          <w:color w:val="0E101A"/>
          <w:lang w:val="en-US"/>
        </w:rPr>
        <w:t>restrictions on associational rights only if the association either favor</w:t>
      </w:r>
      <w:r w:rsidRPr="004033B1">
        <w:rPr>
          <w:color w:val="0E101A"/>
          <w:lang w:val="en-US"/>
        </w:rPr>
        <w:t>ed</w:t>
      </w:r>
      <w:r w:rsidR="00B22DC3" w:rsidRPr="004033B1">
        <w:rPr>
          <w:color w:val="0E101A"/>
          <w:lang w:val="en-US"/>
        </w:rPr>
        <w:t xml:space="preserve"> criminal goals or used </w:t>
      </w:r>
      <w:r w:rsidR="002854B5">
        <w:rPr>
          <w:color w:val="0E101A"/>
          <w:lang w:val="en-US"/>
        </w:rPr>
        <w:t>illegal</w:t>
      </w:r>
      <w:r w:rsidR="00B22DC3" w:rsidRPr="004033B1">
        <w:rPr>
          <w:color w:val="0E101A"/>
          <w:lang w:val="en-US"/>
        </w:rPr>
        <w:t xml:space="preserve"> means: “</w:t>
      </w:r>
      <w:r w:rsidR="00B22DC3" w:rsidRPr="004033B1">
        <w:rPr>
          <w:lang w:val="en-US"/>
        </w:rPr>
        <w:t>Associations which pursue ends or use means classified as criminal offen</w:t>
      </w:r>
      <w:r w:rsidR="00B34C99">
        <w:rPr>
          <w:lang w:val="en-US"/>
        </w:rPr>
        <w:t>s</w:t>
      </w:r>
      <w:r w:rsidR="00B22DC3" w:rsidRPr="004033B1">
        <w:rPr>
          <w:lang w:val="en-US"/>
        </w:rPr>
        <w:t>es are illegal</w:t>
      </w:r>
      <w:r w:rsidR="00B22DC3" w:rsidRPr="004033B1">
        <w:rPr>
          <w:color w:val="0E101A"/>
          <w:lang w:val="en-US"/>
        </w:rPr>
        <w:t>.”</w:t>
      </w:r>
      <w:r w:rsidR="00395E03">
        <w:rPr>
          <w:rStyle w:val="FootnoteReference"/>
          <w:color w:val="0E101A"/>
          <w:lang w:val="en-US"/>
        </w:rPr>
        <w:footnoteReference w:id="48"/>
      </w:r>
      <w:r w:rsidR="00B22DC3" w:rsidRPr="004033B1">
        <w:rPr>
          <w:color w:val="0E101A"/>
          <w:lang w:val="en-US"/>
        </w:rPr>
        <w:t xml:space="preserve"> </w:t>
      </w:r>
      <w:r w:rsidR="00E72567">
        <w:rPr>
          <w:color w:val="0E101A"/>
          <w:lang w:val="en-US"/>
        </w:rPr>
        <w:t xml:space="preserve">At the same time, </w:t>
      </w:r>
      <w:r w:rsidR="00B22DC3" w:rsidRPr="004033B1">
        <w:rPr>
          <w:color w:val="0E101A"/>
          <w:lang w:val="en-US"/>
        </w:rPr>
        <w:t xml:space="preserve">Article 6 </w:t>
      </w:r>
      <w:r w:rsidR="00E72567">
        <w:rPr>
          <w:color w:val="0E101A"/>
          <w:lang w:val="en-US"/>
        </w:rPr>
        <w:t xml:space="preserve">of the Constitution </w:t>
      </w:r>
      <w:r w:rsidR="00B22DC3" w:rsidRPr="004033B1">
        <w:rPr>
          <w:color w:val="0E101A"/>
          <w:lang w:val="en-US"/>
        </w:rPr>
        <w:t>place</w:t>
      </w:r>
      <w:r w:rsidR="00E72567">
        <w:rPr>
          <w:color w:val="0E101A"/>
          <w:lang w:val="en-US"/>
        </w:rPr>
        <w:t>d</w:t>
      </w:r>
      <w:r w:rsidRPr="004033B1">
        <w:rPr>
          <w:color w:val="0E101A"/>
          <w:lang w:val="en-US"/>
        </w:rPr>
        <w:t xml:space="preserve"> </w:t>
      </w:r>
      <w:r w:rsidR="00B22DC3" w:rsidRPr="004033B1">
        <w:rPr>
          <w:color w:val="0E101A"/>
          <w:lang w:val="en-US"/>
        </w:rPr>
        <w:t>the political parties in the heart of pluralism, declar</w:t>
      </w:r>
      <w:r w:rsidR="002577B8">
        <w:rPr>
          <w:color w:val="0E101A"/>
          <w:lang w:val="en-US"/>
        </w:rPr>
        <w:t>ing</w:t>
      </w:r>
      <w:r w:rsidR="00B22DC3" w:rsidRPr="004033B1">
        <w:rPr>
          <w:color w:val="0E101A"/>
          <w:lang w:val="en-US"/>
        </w:rPr>
        <w:t xml:space="preserve"> that “</w:t>
      </w:r>
      <w:r w:rsidR="00B22DC3" w:rsidRPr="004033B1">
        <w:rPr>
          <w:lang w:val="en-US"/>
        </w:rPr>
        <w:t>their creation and the exercise of their activities are free in so far as they respect the Constitution and the law”, and require</w:t>
      </w:r>
      <w:r w:rsidRPr="004033B1">
        <w:rPr>
          <w:lang w:val="en-US"/>
        </w:rPr>
        <w:t>d</w:t>
      </w:r>
      <w:r w:rsidR="00B22DC3" w:rsidRPr="004033B1">
        <w:rPr>
          <w:lang w:val="en-US"/>
        </w:rPr>
        <w:t xml:space="preserve"> their internal structure to be democratic.</w:t>
      </w:r>
      <w:r w:rsidR="00B22DC3" w:rsidRPr="004033B1">
        <w:rPr>
          <w:rStyle w:val="FootnoteReference"/>
          <w:lang w:val="en-US"/>
        </w:rPr>
        <w:footnoteReference w:id="49"/>
      </w:r>
      <w:r w:rsidR="00B22DC3" w:rsidRPr="004033B1">
        <w:rPr>
          <w:lang w:val="en-US"/>
        </w:rPr>
        <w:t xml:space="preserve"> </w:t>
      </w:r>
      <w:r w:rsidR="000F23E5" w:rsidRPr="004033B1">
        <w:rPr>
          <w:lang w:val="en-US"/>
        </w:rPr>
        <w:t>The dispute over the issue of whether Article 6 allowed additional limitations on political parties to be imposed</w:t>
      </w:r>
      <w:r w:rsidR="00136BC4" w:rsidRPr="004033B1">
        <w:rPr>
          <w:lang w:val="en-US"/>
        </w:rPr>
        <w:t>,</w:t>
      </w:r>
      <w:r w:rsidR="000F23E5" w:rsidRPr="004033B1">
        <w:rPr>
          <w:lang w:val="en-US"/>
        </w:rPr>
        <w:t xml:space="preserve"> other than restrictions based on criminal law, arose </w:t>
      </w:r>
      <w:r w:rsidR="00E72567">
        <w:rPr>
          <w:lang w:val="en-US"/>
        </w:rPr>
        <w:t xml:space="preserve">in 2002 </w:t>
      </w:r>
      <w:r w:rsidR="000F23E5" w:rsidRPr="004033B1">
        <w:rPr>
          <w:lang w:val="en-US"/>
        </w:rPr>
        <w:t>with the adoption of th</w:t>
      </w:r>
      <w:r w:rsidRPr="004033B1">
        <w:rPr>
          <w:lang w:val="en-US"/>
        </w:rPr>
        <w:t>e</w:t>
      </w:r>
      <w:r w:rsidR="000F23E5" w:rsidRPr="004033B1">
        <w:rPr>
          <w:lang w:val="en-US"/>
        </w:rPr>
        <w:t xml:space="preserve"> statute </w:t>
      </w:r>
      <w:r w:rsidRPr="004033B1">
        <w:rPr>
          <w:lang w:val="en-US"/>
        </w:rPr>
        <w:t xml:space="preserve">concerning </w:t>
      </w:r>
      <w:r w:rsidR="00A41B4E" w:rsidRPr="004033B1">
        <w:rPr>
          <w:lang w:val="en-US"/>
        </w:rPr>
        <w:t>political parties</w:t>
      </w:r>
      <w:r w:rsidR="002854B5">
        <w:rPr>
          <w:lang w:val="en-US"/>
        </w:rPr>
        <w:t>. A</w:t>
      </w:r>
      <w:r w:rsidR="002577AB" w:rsidRPr="004033B1">
        <w:rPr>
          <w:lang w:val="en-US"/>
        </w:rPr>
        <w:t xml:space="preserve">rticle 9 (2) </w:t>
      </w:r>
      <w:r w:rsidR="002854B5">
        <w:rPr>
          <w:lang w:val="en-US"/>
        </w:rPr>
        <w:t xml:space="preserve">of the statute </w:t>
      </w:r>
      <w:r w:rsidR="000F23E5" w:rsidRPr="004033B1">
        <w:rPr>
          <w:lang w:val="en-US"/>
        </w:rPr>
        <w:t xml:space="preserve">envisaged the possibility </w:t>
      </w:r>
      <w:r w:rsidRPr="004033B1">
        <w:rPr>
          <w:lang w:val="en-US"/>
        </w:rPr>
        <w:t>of</w:t>
      </w:r>
      <w:r w:rsidR="000F23E5" w:rsidRPr="004033B1">
        <w:rPr>
          <w:lang w:val="en-US"/>
        </w:rPr>
        <w:t xml:space="preserve"> </w:t>
      </w:r>
      <w:r w:rsidR="00A41B4E" w:rsidRPr="004033B1">
        <w:rPr>
          <w:lang w:val="en-US"/>
        </w:rPr>
        <w:t>outlaw</w:t>
      </w:r>
      <w:r w:rsidRPr="004033B1">
        <w:rPr>
          <w:lang w:val="en-US"/>
        </w:rPr>
        <w:t>ing</w:t>
      </w:r>
      <w:r w:rsidR="00A41B4E" w:rsidRPr="004033B1">
        <w:rPr>
          <w:lang w:val="en-US"/>
        </w:rPr>
        <w:t xml:space="preserve"> a political party on militant democracy grounds</w:t>
      </w:r>
      <w:r w:rsidRPr="004033B1">
        <w:rPr>
          <w:lang w:val="en-US"/>
        </w:rPr>
        <w:t>:</w:t>
      </w:r>
      <w:r w:rsidR="00A41B4E" w:rsidRPr="004033B1">
        <w:rPr>
          <w:i/>
          <w:iCs/>
          <w:lang w:val="en-US"/>
        </w:rPr>
        <w:t xml:space="preserve"> </w:t>
      </w:r>
    </w:p>
    <w:p w14:paraId="6228430E" w14:textId="53C5EB86" w:rsidR="001500EA" w:rsidRPr="004033B1" w:rsidRDefault="00A41B4E" w:rsidP="00395E03">
      <w:pPr>
        <w:autoSpaceDE w:val="0"/>
        <w:autoSpaceDN w:val="0"/>
        <w:adjustRightInd w:val="0"/>
        <w:spacing w:line="360" w:lineRule="auto"/>
        <w:ind w:left="720"/>
        <w:jc w:val="both"/>
        <w:rPr>
          <w:color w:val="0E101A"/>
          <w:lang w:val="en-US"/>
        </w:rPr>
      </w:pPr>
      <w:r w:rsidRPr="004033B1">
        <w:rPr>
          <w:lang w:val="en-US"/>
        </w:rPr>
        <w:t xml:space="preserve">[…] a political party shall be outlawed when its activity violates the democratic principles, in particular, when through its activity it seeks to deteriorate or </w:t>
      </w:r>
      <w:r w:rsidR="004E2F18" w:rsidRPr="004033B1">
        <w:rPr>
          <w:lang w:val="en-US"/>
        </w:rPr>
        <w:t>destroy</w:t>
      </w:r>
      <w:r w:rsidRPr="004033B1">
        <w:rPr>
          <w:lang w:val="en-US"/>
        </w:rPr>
        <w:t xml:space="preserve"> the system of liberties, or make impossible the democratic system, or eliminate it</w:t>
      </w:r>
      <w:r w:rsidR="00395E03">
        <w:rPr>
          <w:lang w:val="en-US"/>
        </w:rPr>
        <w:t>[</w:t>
      </w:r>
      <w:r w:rsidRPr="004033B1">
        <w:rPr>
          <w:lang w:val="en-US"/>
        </w:rPr>
        <w:t>…</w:t>
      </w:r>
      <w:r w:rsidR="00395E03">
        <w:rPr>
          <w:lang w:val="en-US"/>
        </w:rPr>
        <w:t>]</w:t>
      </w:r>
      <w:r w:rsidR="00395E03">
        <w:rPr>
          <w:rStyle w:val="FootnoteReference"/>
          <w:lang w:val="en-US"/>
        </w:rPr>
        <w:footnoteReference w:id="50"/>
      </w:r>
      <w:r w:rsidRPr="004033B1">
        <w:rPr>
          <w:lang w:val="en-US"/>
        </w:rPr>
        <w:t xml:space="preserve"> </w:t>
      </w:r>
    </w:p>
    <w:p w14:paraId="49EB9BD3" w14:textId="752E1703" w:rsidR="003F04AD" w:rsidRPr="004033B1" w:rsidRDefault="00A24E8A" w:rsidP="003F04AD">
      <w:pPr>
        <w:autoSpaceDE w:val="0"/>
        <w:autoSpaceDN w:val="0"/>
        <w:adjustRightInd w:val="0"/>
        <w:spacing w:line="360" w:lineRule="auto"/>
        <w:ind w:firstLine="720"/>
        <w:jc w:val="both"/>
        <w:rPr>
          <w:color w:val="0E101A"/>
          <w:lang w:val="en-US"/>
        </w:rPr>
      </w:pPr>
      <w:r w:rsidRPr="004033B1">
        <w:rPr>
          <w:rFonts w:eastAsiaTheme="minorHAnsi"/>
          <w:lang w:val="en-US" w:eastAsia="en-US"/>
        </w:rPr>
        <w:t xml:space="preserve">Eventually, it was established that the political party may be prohibited </w:t>
      </w:r>
      <w:r w:rsidR="008B7ED3" w:rsidRPr="004033B1">
        <w:rPr>
          <w:rFonts w:eastAsiaTheme="minorHAnsi"/>
          <w:lang w:val="en-US" w:eastAsia="en-US"/>
        </w:rPr>
        <w:t xml:space="preserve">on militant democracy grounds </w:t>
      </w:r>
      <w:r w:rsidR="00E51254">
        <w:rPr>
          <w:rFonts w:eastAsiaTheme="minorHAnsi"/>
          <w:lang w:val="en-US" w:eastAsia="en-US"/>
        </w:rPr>
        <w:t>encapsulated</w:t>
      </w:r>
      <w:r w:rsidR="008B7ED3" w:rsidRPr="004033B1">
        <w:rPr>
          <w:rFonts w:eastAsiaTheme="minorHAnsi"/>
          <w:lang w:val="en-US" w:eastAsia="en-US"/>
        </w:rPr>
        <w:t xml:space="preserve"> in </w:t>
      </w:r>
      <w:r w:rsidR="00E51254">
        <w:rPr>
          <w:rFonts w:eastAsiaTheme="minorHAnsi"/>
          <w:lang w:val="en-US" w:eastAsia="en-US"/>
        </w:rPr>
        <w:t>Article 9(2)</w:t>
      </w:r>
      <w:r w:rsidR="008B7ED3" w:rsidRPr="004033B1">
        <w:rPr>
          <w:rFonts w:eastAsiaTheme="minorHAnsi"/>
          <w:lang w:val="en-US" w:eastAsia="en-US"/>
        </w:rPr>
        <w:t xml:space="preserve">, even when it was not possible to outlaw it on the grounds of the </w:t>
      </w:r>
      <w:r w:rsidR="002854B5">
        <w:rPr>
          <w:rFonts w:eastAsiaTheme="minorHAnsi"/>
          <w:lang w:val="en-US" w:eastAsia="en-US"/>
        </w:rPr>
        <w:t>c</w:t>
      </w:r>
      <w:r w:rsidR="008B7ED3" w:rsidRPr="004033B1">
        <w:rPr>
          <w:rFonts w:eastAsiaTheme="minorHAnsi"/>
          <w:lang w:val="en-US" w:eastAsia="en-US"/>
        </w:rPr>
        <w:t xml:space="preserve">riminal </w:t>
      </w:r>
      <w:r w:rsidR="002854B5">
        <w:rPr>
          <w:rFonts w:eastAsiaTheme="minorHAnsi"/>
          <w:lang w:val="en-US" w:eastAsia="en-US"/>
        </w:rPr>
        <w:t>l</w:t>
      </w:r>
      <w:r w:rsidR="008B7ED3" w:rsidRPr="004033B1">
        <w:rPr>
          <w:rFonts w:eastAsiaTheme="minorHAnsi"/>
          <w:lang w:val="en-US" w:eastAsia="en-US"/>
        </w:rPr>
        <w:t>aw.</w:t>
      </w:r>
      <w:r w:rsidR="00395E03">
        <w:rPr>
          <w:rStyle w:val="FootnoteReference"/>
          <w:rFonts w:eastAsiaTheme="minorHAnsi"/>
          <w:lang w:val="en-US" w:eastAsia="en-US"/>
        </w:rPr>
        <w:footnoteReference w:id="51"/>
      </w:r>
      <w:r w:rsidR="008B7ED3" w:rsidRPr="004033B1">
        <w:rPr>
          <w:rFonts w:eastAsiaTheme="minorHAnsi"/>
          <w:lang w:val="en-US" w:eastAsia="en-US"/>
        </w:rPr>
        <w:t xml:space="preserve"> It turned out that </w:t>
      </w:r>
      <w:r w:rsidR="002854B5">
        <w:rPr>
          <w:rFonts w:eastAsiaTheme="minorHAnsi"/>
          <w:lang w:val="en-US" w:eastAsia="en-US"/>
        </w:rPr>
        <w:t xml:space="preserve">despite the </w:t>
      </w:r>
      <w:r w:rsidR="00D83EEA" w:rsidRPr="004033B1">
        <w:rPr>
          <w:rFonts w:eastAsiaTheme="minorHAnsi"/>
          <w:lang w:val="en-US" w:eastAsia="en-US"/>
        </w:rPr>
        <w:t xml:space="preserve">established links between </w:t>
      </w:r>
      <w:proofErr w:type="spellStart"/>
      <w:r w:rsidR="00D83EEA" w:rsidRPr="004033B1">
        <w:rPr>
          <w:rFonts w:eastAsiaTheme="minorHAnsi"/>
          <w:lang w:val="en-US" w:eastAsia="en-US"/>
        </w:rPr>
        <w:t>Batusana</w:t>
      </w:r>
      <w:proofErr w:type="spellEnd"/>
      <w:r w:rsidR="00D83EEA" w:rsidRPr="004033B1">
        <w:rPr>
          <w:rFonts w:eastAsiaTheme="minorHAnsi"/>
          <w:lang w:val="en-US" w:eastAsia="en-US"/>
        </w:rPr>
        <w:t xml:space="preserve"> and ETA, evidences were not strong enough to satisf</w:t>
      </w:r>
      <w:r w:rsidR="002577B8">
        <w:rPr>
          <w:rFonts w:eastAsiaTheme="minorHAnsi"/>
          <w:lang w:val="en-US" w:eastAsia="en-US"/>
        </w:rPr>
        <w:t>y</w:t>
      </w:r>
      <w:r w:rsidR="00D83EEA" w:rsidRPr="004033B1">
        <w:rPr>
          <w:rFonts w:eastAsiaTheme="minorHAnsi"/>
          <w:lang w:val="en-US" w:eastAsia="en-US"/>
        </w:rPr>
        <w:t xml:space="preserve"> stringent criminal law standards for declaring </w:t>
      </w:r>
      <w:proofErr w:type="spellStart"/>
      <w:r w:rsidR="00D83EEA" w:rsidRPr="004033B1">
        <w:rPr>
          <w:rFonts w:eastAsiaTheme="minorHAnsi"/>
          <w:lang w:val="en-US" w:eastAsia="en-US"/>
        </w:rPr>
        <w:t>Batusana</w:t>
      </w:r>
      <w:proofErr w:type="spellEnd"/>
      <w:r w:rsidR="00D83EEA" w:rsidRPr="004033B1">
        <w:rPr>
          <w:rFonts w:eastAsiaTheme="minorHAnsi"/>
          <w:lang w:val="en-US" w:eastAsia="en-US"/>
        </w:rPr>
        <w:t xml:space="preserve"> a criminal association</w:t>
      </w:r>
      <w:r w:rsidRPr="004033B1">
        <w:rPr>
          <w:rFonts w:eastAsiaTheme="minorHAnsi"/>
          <w:lang w:val="en-US" w:eastAsia="en-US"/>
        </w:rPr>
        <w:t xml:space="preserve">, </w:t>
      </w:r>
      <w:r w:rsidR="00D83EEA" w:rsidRPr="004033B1">
        <w:rPr>
          <w:rFonts w:eastAsiaTheme="minorHAnsi"/>
          <w:lang w:val="en-US" w:eastAsia="en-US"/>
        </w:rPr>
        <w:t>its members criminally liable</w:t>
      </w:r>
      <w:r w:rsidRPr="004033B1">
        <w:rPr>
          <w:rFonts w:eastAsiaTheme="minorHAnsi"/>
          <w:lang w:val="en-US" w:eastAsia="en-US"/>
        </w:rPr>
        <w:t xml:space="preserve">, and to outlaw it on the basis of </w:t>
      </w:r>
      <w:r w:rsidR="00BB2DD3" w:rsidRPr="004033B1">
        <w:rPr>
          <w:rFonts w:eastAsiaTheme="minorHAnsi"/>
          <w:lang w:val="en-US" w:eastAsia="en-US"/>
        </w:rPr>
        <w:t xml:space="preserve">the </w:t>
      </w:r>
      <w:r w:rsidRPr="004033B1">
        <w:rPr>
          <w:rFonts w:eastAsiaTheme="minorHAnsi"/>
          <w:lang w:val="en-US" w:eastAsia="en-US"/>
        </w:rPr>
        <w:t>Criminal Code.</w:t>
      </w:r>
      <w:r w:rsidR="00395E03">
        <w:rPr>
          <w:rStyle w:val="FootnoteReference"/>
          <w:rFonts w:eastAsiaTheme="minorHAnsi"/>
          <w:lang w:val="en-US" w:eastAsia="en-US"/>
        </w:rPr>
        <w:footnoteReference w:id="52"/>
      </w:r>
      <w:r w:rsidR="00D83EEA" w:rsidRPr="004033B1">
        <w:rPr>
          <w:rFonts w:eastAsiaTheme="minorHAnsi"/>
          <w:lang w:val="en-US" w:eastAsia="en-US"/>
        </w:rPr>
        <w:t xml:space="preserve"> </w:t>
      </w:r>
      <w:r w:rsidR="002577B8" w:rsidRPr="004033B1">
        <w:rPr>
          <w:rFonts w:eastAsiaTheme="minorHAnsi"/>
          <w:lang w:val="en-US" w:eastAsia="en-US"/>
        </w:rPr>
        <w:t>However</w:t>
      </w:r>
      <w:r w:rsidR="002716B3">
        <w:rPr>
          <w:rFonts w:eastAsiaTheme="minorHAnsi"/>
          <w:lang w:val="en-US" w:eastAsia="en-US"/>
        </w:rPr>
        <w:t>,</w:t>
      </w:r>
      <w:r w:rsidR="002577AB" w:rsidRPr="004033B1">
        <w:rPr>
          <w:rFonts w:eastAsiaTheme="minorHAnsi"/>
          <w:lang w:val="en-US" w:eastAsia="en-US"/>
        </w:rPr>
        <w:t xml:space="preserve"> the prohibition of </w:t>
      </w:r>
      <w:proofErr w:type="spellStart"/>
      <w:r w:rsidR="002577AB" w:rsidRPr="004033B1">
        <w:rPr>
          <w:rFonts w:eastAsiaTheme="minorHAnsi"/>
          <w:lang w:val="en-US" w:eastAsia="en-US"/>
        </w:rPr>
        <w:t>Batusana</w:t>
      </w:r>
      <w:proofErr w:type="spellEnd"/>
      <w:r w:rsidR="002577AB" w:rsidRPr="004033B1">
        <w:rPr>
          <w:rFonts w:eastAsiaTheme="minorHAnsi"/>
          <w:lang w:val="en-US" w:eastAsia="en-US"/>
        </w:rPr>
        <w:t xml:space="preserve"> eventually </w:t>
      </w:r>
      <w:r w:rsidR="002577AB" w:rsidRPr="004033B1">
        <w:rPr>
          <w:rFonts w:eastAsiaTheme="minorHAnsi"/>
          <w:lang w:val="en-US" w:eastAsia="en-US"/>
        </w:rPr>
        <w:lastRenderedPageBreak/>
        <w:t>did happen on the grounds of ‘</w:t>
      </w:r>
      <w:r w:rsidR="00F81421" w:rsidRPr="004033B1">
        <w:rPr>
          <w:rFonts w:eastAsiaTheme="minorHAnsi"/>
          <w:lang w:val="en-US" w:eastAsia="en-US"/>
        </w:rPr>
        <w:t>constitutional</w:t>
      </w:r>
      <w:r w:rsidR="002577AB" w:rsidRPr="004033B1">
        <w:rPr>
          <w:rFonts w:eastAsiaTheme="minorHAnsi"/>
          <w:lang w:val="en-US" w:eastAsia="en-US"/>
        </w:rPr>
        <w:t xml:space="preserve"> illegality’ introduced by the 2002 </w:t>
      </w:r>
      <w:r w:rsidR="00F81421" w:rsidRPr="004033B1">
        <w:rPr>
          <w:rFonts w:eastAsiaTheme="minorHAnsi"/>
          <w:lang w:val="en-US" w:eastAsia="en-US"/>
        </w:rPr>
        <w:t xml:space="preserve">statute </w:t>
      </w:r>
      <w:r w:rsidR="002577AB" w:rsidRPr="004033B1">
        <w:rPr>
          <w:rFonts w:eastAsiaTheme="minorHAnsi"/>
          <w:lang w:val="en-US" w:eastAsia="en-US"/>
        </w:rPr>
        <w:t>for activities against constitutional values defined in Article 9 (2</w:t>
      </w:r>
      <w:r w:rsidR="00F81421" w:rsidRPr="004033B1">
        <w:rPr>
          <w:rFonts w:eastAsiaTheme="minorHAnsi"/>
          <w:lang w:val="en-US" w:eastAsia="en-US"/>
        </w:rPr>
        <w:t>).</w:t>
      </w:r>
      <w:r w:rsidR="004142F0" w:rsidRPr="004033B1">
        <w:rPr>
          <w:rStyle w:val="FootnoteReference"/>
          <w:rFonts w:eastAsiaTheme="minorHAnsi"/>
          <w:lang w:val="en-US" w:eastAsia="en-US"/>
        </w:rPr>
        <w:footnoteReference w:id="53"/>
      </w:r>
      <w:r w:rsidR="00F81421" w:rsidRPr="004033B1">
        <w:rPr>
          <w:rFonts w:eastAsiaTheme="minorHAnsi"/>
          <w:lang w:val="en-US" w:eastAsia="en-US"/>
        </w:rPr>
        <w:t xml:space="preserve"> </w:t>
      </w:r>
    </w:p>
    <w:p w14:paraId="7BC4D4AA" w14:textId="359C4580" w:rsidR="00317636" w:rsidRDefault="00317636" w:rsidP="006A6D71">
      <w:pPr>
        <w:autoSpaceDE w:val="0"/>
        <w:autoSpaceDN w:val="0"/>
        <w:adjustRightInd w:val="0"/>
        <w:spacing w:line="360" w:lineRule="auto"/>
        <w:ind w:firstLine="720"/>
        <w:jc w:val="both"/>
        <w:rPr>
          <w:color w:val="0E101A"/>
          <w:lang w:val="en-US"/>
        </w:rPr>
      </w:pPr>
      <w:r w:rsidRPr="00317636">
        <w:rPr>
          <w:color w:val="0E101A"/>
          <w:lang w:val="en-US"/>
        </w:rPr>
        <w:t>For the sake of clarity, the above scenario does not target undefined terrorists but the political parties inclining to defend terrorist strategies. Consequently, unlike the counter-terror state, militant democracy does not treat everyone as a potential enemy but only the enemy identifiable under the stringent rules. Even then, militant democracy operates under judicial review requirements, which is often not the case with the counter-terror state.</w:t>
      </w:r>
    </w:p>
    <w:p w14:paraId="71DD2EF6" w14:textId="01F8D257" w:rsidR="00997E6B" w:rsidRDefault="00997E6B" w:rsidP="00997E6B">
      <w:pPr>
        <w:autoSpaceDE w:val="0"/>
        <w:autoSpaceDN w:val="0"/>
        <w:adjustRightInd w:val="0"/>
        <w:spacing w:line="360" w:lineRule="auto"/>
        <w:ind w:firstLine="720"/>
        <w:jc w:val="both"/>
        <w:rPr>
          <w:rFonts w:eastAsiaTheme="minorHAnsi"/>
          <w:lang w:val="en-US" w:eastAsia="en-US"/>
        </w:rPr>
      </w:pPr>
      <w:r w:rsidRPr="00997E6B">
        <w:rPr>
          <w:rFonts w:eastAsiaTheme="minorHAnsi"/>
          <w:lang w:val="en-US" w:eastAsia="en-US"/>
        </w:rPr>
        <w:t xml:space="preserve">Suppose </w:t>
      </w:r>
      <w:r w:rsidR="00366683">
        <w:rPr>
          <w:rFonts w:eastAsiaTheme="minorHAnsi"/>
          <w:lang w:val="en-US" w:eastAsia="en-US"/>
        </w:rPr>
        <w:t xml:space="preserve">that </w:t>
      </w:r>
      <w:r w:rsidRPr="00997E6B">
        <w:rPr>
          <w:rFonts w:eastAsiaTheme="minorHAnsi"/>
          <w:lang w:val="en-US" w:eastAsia="en-US"/>
        </w:rPr>
        <w:t xml:space="preserve">militant democracy differs from the counter-terror state, as I have described. Is Ginsburg’s and Huq’s slippery-slope argument that militant democracy can be counterproductive as “it is amenable to use against not only those who present an actual threat, but also those who are perceived as alien and therefore unworthy of inclusion in the body politic” still valid? The issue requires a broad explanation and </w:t>
      </w:r>
      <w:r w:rsidR="00366683">
        <w:rPr>
          <w:rFonts w:eastAsiaTheme="minorHAnsi"/>
          <w:lang w:val="en-US" w:eastAsia="en-US"/>
        </w:rPr>
        <w:t>brings us back</w:t>
      </w:r>
      <w:r w:rsidRPr="00997E6B">
        <w:rPr>
          <w:rFonts w:eastAsiaTheme="minorHAnsi"/>
          <w:lang w:val="en-US" w:eastAsia="en-US"/>
        </w:rPr>
        <w:t xml:space="preserve"> to the inherent arbitrariness of militant democracy, which is not the subject of </w:t>
      </w:r>
      <w:r w:rsidR="00366683">
        <w:rPr>
          <w:rFonts w:eastAsiaTheme="minorHAnsi"/>
          <w:lang w:val="en-US" w:eastAsia="en-US"/>
        </w:rPr>
        <w:t>the</w:t>
      </w:r>
      <w:r w:rsidRPr="00997E6B">
        <w:rPr>
          <w:rFonts w:eastAsiaTheme="minorHAnsi"/>
          <w:lang w:val="en-US" w:eastAsia="en-US"/>
        </w:rPr>
        <w:t xml:space="preserve"> present discussion. Here it is sufficient to say that, in my view, the </w:t>
      </w:r>
      <w:r w:rsidR="00EB3D60">
        <w:rPr>
          <w:rFonts w:eastAsiaTheme="minorHAnsi"/>
          <w:lang w:val="en-US" w:eastAsia="en-US"/>
        </w:rPr>
        <w:t xml:space="preserve">authors’ </w:t>
      </w:r>
      <w:r w:rsidRPr="00997E6B">
        <w:rPr>
          <w:rFonts w:eastAsiaTheme="minorHAnsi"/>
          <w:lang w:val="en-US" w:eastAsia="en-US"/>
        </w:rPr>
        <w:t>wedge argument originates in the general skepticism towards militant democracy present in the American scholarly discourse.</w:t>
      </w:r>
      <w:r w:rsidR="008F1441">
        <w:rPr>
          <w:rFonts w:eastAsiaTheme="minorHAnsi"/>
          <w:lang w:val="en-US" w:eastAsia="en-US"/>
        </w:rPr>
        <w:t xml:space="preserve"> </w:t>
      </w:r>
      <w:r w:rsidR="002960B1">
        <w:rPr>
          <w:rFonts w:eastAsiaTheme="minorHAnsi"/>
          <w:lang w:val="en-US" w:eastAsia="en-US"/>
        </w:rPr>
        <w:t xml:space="preserve">Later, </w:t>
      </w:r>
      <w:r w:rsidR="008F1441">
        <w:rPr>
          <w:rFonts w:eastAsiaTheme="minorHAnsi"/>
          <w:lang w:val="en-US" w:eastAsia="en-US"/>
        </w:rPr>
        <w:t>I will come back to this point</w:t>
      </w:r>
      <w:r w:rsidR="002960B1">
        <w:rPr>
          <w:rFonts w:eastAsiaTheme="minorHAnsi"/>
          <w:lang w:val="en-US" w:eastAsia="en-US"/>
        </w:rPr>
        <w:t xml:space="preserve">. </w:t>
      </w:r>
    </w:p>
    <w:p w14:paraId="53A346AD" w14:textId="1194F848" w:rsidR="006A6D71" w:rsidRPr="004033B1" w:rsidRDefault="006A6D71" w:rsidP="006A6D71">
      <w:pPr>
        <w:autoSpaceDE w:val="0"/>
        <w:autoSpaceDN w:val="0"/>
        <w:adjustRightInd w:val="0"/>
        <w:spacing w:line="360" w:lineRule="auto"/>
        <w:ind w:firstLine="720"/>
        <w:jc w:val="both"/>
        <w:rPr>
          <w:rFonts w:eastAsiaTheme="minorHAnsi"/>
          <w:lang w:val="en-US" w:eastAsia="en-US"/>
        </w:rPr>
      </w:pPr>
      <w:r w:rsidRPr="004033B1">
        <w:rPr>
          <w:rFonts w:eastAsiaTheme="minorHAnsi"/>
          <w:lang w:val="en-US" w:eastAsia="en-US"/>
        </w:rPr>
        <w:t xml:space="preserve">Finally, militant democracy is not about emergency powers either, despite the militant language </w:t>
      </w:r>
      <w:r w:rsidR="006512F3" w:rsidRPr="004033B1">
        <w:rPr>
          <w:rFonts w:eastAsiaTheme="minorHAnsi"/>
          <w:lang w:val="en-US" w:eastAsia="en-US"/>
        </w:rPr>
        <w:t xml:space="preserve">and militant reasoning </w:t>
      </w:r>
      <w:r w:rsidRPr="004033B1">
        <w:rPr>
          <w:rFonts w:eastAsiaTheme="minorHAnsi"/>
          <w:lang w:val="en-US" w:eastAsia="en-US"/>
        </w:rPr>
        <w:t>in constitutionally designed models of emergency powers.</w:t>
      </w:r>
      <w:r w:rsidR="00CD3AA1">
        <w:rPr>
          <w:rStyle w:val="FootnoteReference"/>
          <w:rFonts w:eastAsiaTheme="minorHAnsi"/>
          <w:lang w:val="en-US" w:eastAsia="en-US"/>
        </w:rPr>
        <w:footnoteReference w:id="54"/>
      </w:r>
      <w:r w:rsidRPr="004033B1">
        <w:rPr>
          <w:rFonts w:eastAsiaTheme="minorHAnsi"/>
          <w:lang w:val="en-US" w:eastAsia="en-US"/>
        </w:rPr>
        <w:t xml:space="preserve"> First and foremost, constitutionally designed militant democracy applies in ‘regular’ time in the society and not in an exceptional time when public safety is seriously threatened. Militant democracy is not the law of the exception</w:t>
      </w:r>
      <w:r w:rsidR="00CD3AA1">
        <w:rPr>
          <w:rFonts w:eastAsiaTheme="minorHAnsi"/>
          <w:lang w:val="en-US" w:eastAsia="en-US"/>
        </w:rPr>
        <w:t xml:space="preserve"> to be activated according to special emergency rules - </w:t>
      </w:r>
      <w:r w:rsidRPr="004033B1">
        <w:rPr>
          <w:rFonts w:eastAsiaTheme="minorHAnsi"/>
          <w:lang w:val="en-US" w:eastAsia="en-US"/>
        </w:rPr>
        <w:t>its measures are subject to ‘the ‘ordinary’ legal system that operates under normal circumstances. Emergency powers apply only in cases of urgent threat to ‘the life of the nation’ as underlined in the European Convention</w:t>
      </w:r>
      <w:r w:rsidR="002960B1">
        <w:rPr>
          <w:rFonts w:eastAsiaTheme="minorHAnsi"/>
          <w:lang w:val="en-US" w:eastAsia="en-US"/>
        </w:rPr>
        <w:t xml:space="preserve"> For the Protection</w:t>
      </w:r>
      <w:r w:rsidRPr="004033B1">
        <w:rPr>
          <w:rFonts w:eastAsiaTheme="minorHAnsi"/>
          <w:lang w:val="en-US" w:eastAsia="en-US"/>
        </w:rPr>
        <w:t xml:space="preserve"> of Human Rights</w:t>
      </w:r>
      <w:r w:rsidR="002960B1">
        <w:rPr>
          <w:rFonts w:eastAsiaTheme="minorHAnsi"/>
          <w:lang w:val="en-US" w:eastAsia="en-US"/>
        </w:rPr>
        <w:t xml:space="preserve"> and Fundamental Freedoms</w:t>
      </w:r>
      <w:r w:rsidRPr="004033B1">
        <w:rPr>
          <w:rFonts w:eastAsiaTheme="minorHAnsi"/>
          <w:lang w:val="en-US" w:eastAsia="en-US"/>
        </w:rPr>
        <w:t xml:space="preserve">, not only when the constitutional order is in danger for political reasons. To activate emergency measures,  a state of emergency should be proclaimed while no such condition exists with regard to the application of the militant democracy measures – to dissolve a party or to prosecute hate speech, no state of emergency is needed. </w:t>
      </w:r>
    </w:p>
    <w:p w14:paraId="7E3D108F" w14:textId="75C9C257" w:rsidR="006A6D71" w:rsidRPr="004033B1" w:rsidRDefault="006A6D71" w:rsidP="006A6D71">
      <w:pPr>
        <w:autoSpaceDE w:val="0"/>
        <w:autoSpaceDN w:val="0"/>
        <w:adjustRightInd w:val="0"/>
        <w:spacing w:line="360" w:lineRule="auto"/>
        <w:ind w:firstLine="720"/>
        <w:jc w:val="both"/>
        <w:rPr>
          <w:rFonts w:eastAsiaTheme="minorHAnsi"/>
          <w:lang w:val="en-US" w:eastAsia="en-US"/>
        </w:rPr>
      </w:pPr>
      <w:r w:rsidRPr="004033B1">
        <w:rPr>
          <w:rFonts w:eastAsiaTheme="minorHAnsi"/>
          <w:lang w:val="en-US" w:eastAsia="en-US"/>
        </w:rPr>
        <w:t xml:space="preserve">Second, the nature of the threat requesting the activation of emergency powers is not reduced only to civil war and terrorism whose protagonists may indeed want to destroy the </w:t>
      </w:r>
      <w:r w:rsidRPr="004033B1">
        <w:rPr>
          <w:rFonts w:eastAsiaTheme="minorHAnsi"/>
          <w:lang w:val="en-US" w:eastAsia="en-US"/>
        </w:rPr>
        <w:lastRenderedPageBreak/>
        <w:t>constitutional (liberal) order: the threats range from war, and economic meltdown to natural disasters, as is</w:t>
      </w:r>
      <w:r w:rsidR="00504A53">
        <w:rPr>
          <w:rFonts w:eastAsiaTheme="minorHAnsi"/>
          <w:lang w:val="en-US" w:eastAsia="en-US"/>
        </w:rPr>
        <w:t>, for example,</w:t>
      </w:r>
      <w:r w:rsidRPr="004033B1">
        <w:rPr>
          <w:rFonts w:eastAsiaTheme="minorHAnsi"/>
          <w:lang w:val="en-US" w:eastAsia="en-US"/>
        </w:rPr>
        <w:t xml:space="preserve"> the current COVID-19 virus</w:t>
      </w:r>
      <w:r w:rsidR="00EB3D60">
        <w:rPr>
          <w:rFonts w:eastAsiaTheme="minorHAnsi"/>
          <w:lang w:val="en-US" w:eastAsia="en-US"/>
        </w:rPr>
        <w:t xml:space="preserve"> pandemic</w:t>
      </w:r>
      <w:r w:rsidRPr="004033B1">
        <w:rPr>
          <w:rFonts w:eastAsiaTheme="minorHAnsi"/>
          <w:lang w:val="en-US" w:eastAsia="en-US"/>
        </w:rPr>
        <w:t>. In addition, the threats are not only internal but also external. External threats do not satisfy the definition of militant democracy. And, again, even when civil war or terrorism amount to an attempt to destroy the constitutional liberal order, special measures to preserve it may be justified only if the state of emergency is proclaimed.</w:t>
      </w:r>
    </w:p>
    <w:p w14:paraId="6F249B3B" w14:textId="5831841B" w:rsidR="006A6D71" w:rsidRPr="004033B1" w:rsidRDefault="006A6D71" w:rsidP="006A6D71">
      <w:pPr>
        <w:autoSpaceDE w:val="0"/>
        <w:autoSpaceDN w:val="0"/>
        <w:adjustRightInd w:val="0"/>
        <w:spacing w:line="360" w:lineRule="auto"/>
        <w:ind w:firstLine="720"/>
        <w:jc w:val="both"/>
        <w:rPr>
          <w:rFonts w:eastAsiaTheme="minorHAnsi"/>
          <w:lang w:val="en-US" w:eastAsia="en-US"/>
        </w:rPr>
      </w:pPr>
      <w:r w:rsidRPr="004033B1">
        <w:rPr>
          <w:rFonts w:eastAsiaTheme="minorHAnsi"/>
          <w:lang w:val="en-US" w:eastAsia="en-US"/>
        </w:rPr>
        <w:t>Third, militant democracy measures are by default subject to judicial review, while it is not always the case with the emergency powers. Consider the French model applicable to Ginsburg’s and Huq’s example. Although the French President should consult the Constitutional Council regarding the measures, there are no enforceable checks on the President’s authority to declare the state of emergency and the measures employed to respond to it.</w:t>
      </w:r>
      <w:r w:rsidR="00504A53">
        <w:rPr>
          <w:rStyle w:val="FootnoteReference"/>
          <w:rFonts w:eastAsiaTheme="minorHAnsi"/>
          <w:lang w:val="en-US" w:eastAsia="en-US"/>
        </w:rPr>
        <w:footnoteReference w:id="55"/>
      </w:r>
      <w:r w:rsidRPr="004033B1">
        <w:rPr>
          <w:rFonts w:eastAsiaTheme="minorHAnsi"/>
          <w:lang w:val="en-US" w:eastAsia="en-US"/>
        </w:rPr>
        <w:t xml:space="preserve">  </w:t>
      </w:r>
    </w:p>
    <w:p w14:paraId="0265E231" w14:textId="79C67DDD" w:rsidR="002C7DE3" w:rsidRPr="004033B1" w:rsidRDefault="002C7DE3" w:rsidP="000B19FB">
      <w:pPr>
        <w:autoSpaceDE w:val="0"/>
        <w:autoSpaceDN w:val="0"/>
        <w:adjustRightInd w:val="0"/>
        <w:spacing w:line="360" w:lineRule="auto"/>
        <w:ind w:firstLine="720"/>
        <w:jc w:val="both"/>
        <w:rPr>
          <w:rFonts w:eastAsiaTheme="minorHAnsi"/>
          <w:lang w:val="en-US" w:eastAsia="en-US"/>
        </w:rPr>
      </w:pPr>
      <w:r w:rsidRPr="004033B1">
        <w:rPr>
          <w:rFonts w:eastAsiaTheme="minorHAnsi"/>
          <w:lang w:val="en-US" w:eastAsia="en-US"/>
        </w:rPr>
        <w:t xml:space="preserve">It is a totally different issue of whether emergency powers can help preventing democratic erosion. </w:t>
      </w:r>
      <w:r w:rsidR="000B19FB" w:rsidRPr="004033B1">
        <w:rPr>
          <w:rFonts w:eastAsiaTheme="minorHAnsi"/>
          <w:lang w:val="en-US" w:eastAsia="en-US"/>
        </w:rPr>
        <w:t>In addressing this issue, t</w:t>
      </w:r>
      <w:r w:rsidRPr="004033B1">
        <w:rPr>
          <w:rFonts w:eastAsiaTheme="minorHAnsi"/>
          <w:lang w:val="en-US" w:eastAsia="en-US"/>
        </w:rPr>
        <w:t xml:space="preserve">he authors </w:t>
      </w:r>
      <w:r w:rsidR="000B19FB" w:rsidRPr="004033B1">
        <w:rPr>
          <w:rFonts w:eastAsiaTheme="minorHAnsi"/>
          <w:lang w:val="en-US" w:eastAsia="en-US"/>
        </w:rPr>
        <w:t xml:space="preserve">are not definitely skeptical about the capacity of the good constitutional emergency powers model to serve the purpose, </w:t>
      </w:r>
      <w:r w:rsidR="00C7107A">
        <w:rPr>
          <w:rStyle w:val="FootnoteReference"/>
          <w:rFonts w:eastAsiaTheme="minorHAnsi"/>
          <w:lang w:val="en-US" w:eastAsia="en-US"/>
        </w:rPr>
        <w:footnoteReference w:id="56"/>
      </w:r>
      <w:r w:rsidR="000B19FB" w:rsidRPr="004033B1">
        <w:rPr>
          <w:rFonts w:eastAsiaTheme="minorHAnsi"/>
          <w:lang w:val="en-US" w:eastAsia="en-US"/>
        </w:rPr>
        <w:t xml:space="preserve"> but this issue </w:t>
      </w:r>
      <w:r w:rsidR="00BE52F6">
        <w:rPr>
          <w:rFonts w:eastAsiaTheme="minorHAnsi"/>
          <w:lang w:val="en-US" w:eastAsia="en-US"/>
        </w:rPr>
        <w:t xml:space="preserve">is beyond the scope of this chapter. </w:t>
      </w:r>
    </w:p>
    <w:p w14:paraId="5C3E0754" w14:textId="04EEB78E" w:rsidR="006A6D71" w:rsidRPr="004033B1" w:rsidRDefault="006A6D71" w:rsidP="006A6D71">
      <w:pPr>
        <w:autoSpaceDE w:val="0"/>
        <w:autoSpaceDN w:val="0"/>
        <w:adjustRightInd w:val="0"/>
        <w:spacing w:line="360" w:lineRule="auto"/>
        <w:ind w:firstLine="720"/>
        <w:jc w:val="both"/>
        <w:rPr>
          <w:rFonts w:eastAsiaTheme="minorHAnsi"/>
          <w:lang w:val="en-US" w:eastAsia="en-US"/>
        </w:rPr>
      </w:pPr>
      <w:r w:rsidRPr="006E04EE">
        <w:rPr>
          <w:rFonts w:eastAsiaTheme="minorHAnsi"/>
          <w:lang w:val="en-US" w:eastAsia="en-US"/>
        </w:rPr>
        <w:t xml:space="preserve">I turn now to </w:t>
      </w:r>
      <w:r w:rsidR="009B0391">
        <w:rPr>
          <w:rFonts w:eastAsiaTheme="minorHAnsi"/>
          <w:lang w:val="en-US" w:eastAsia="en-US"/>
        </w:rPr>
        <w:t>show</w:t>
      </w:r>
      <w:r w:rsidRPr="006E04EE">
        <w:rPr>
          <w:rFonts w:eastAsiaTheme="minorHAnsi"/>
          <w:lang w:val="en-US" w:eastAsia="en-US"/>
        </w:rPr>
        <w:t xml:space="preserve"> wh</w:t>
      </w:r>
      <w:r w:rsidR="009B0391">
        <w:rPr>
          <w:rFonts w:eastAsiaTheme="minorHAnsi"/>
          <w:lang w:val="en-US" w:eastAsia="en-US"/>
        </w:rPr>
        <w:t>y</w:t>
      </w:r>
      <w:r w:rsidRPr="006E04EE">
        <w:rPr>
          <w:rFonts w:eastAsiaTheme="minorHAnsi"/>
          <w:lang w:val="en-US" w:eastAsia="en-US"/>
        </w:rPr>
        <w:t xml:space="preserve"> Ginsburg’s and Huq’s thesis </w:t>
      </w:r>
      <w:r w:rsidR="009B0391">
        <w:rPr>
          <w:rFonts w:eastAsiaTheme="minorHAnsi"/>
          <w:lang w:val="en-US" w:eastAsia="en-US"/>
        </w:rPr>
        <w:t xml:space="preserve">should not be extended to </w:t>
      </w:r>
      <w:r w:rsidRPr="006E04EE">
        <w:rPr>
          <w:rFonts w:eastAsiaTheme="minorHAnsi"/>
          <w:lang w:val="en-US" w:eastAsia="en-US"/>
        </w:rPr>
        <w:t>anti-veil cases.</w:t>
      </w:r>
      <w:r w:rsidRPr="004033B1">
        <w:rPr>
          <w:rFonts w:eastAsiaTheme="minorHAnsi"/>
          <w:lang w:val="en-US" w:eastAsia="en-US"/>
        </w:rPr>
        <w:t xml:space="preserve"> </w:t>
      </w:r>
    </w:p>
    <w:p w14:paraId="1AC9FF67" w14:textId="5257C85E" w:rsidR="006A6D71" w:rsidRPr="004033B1" w:rsidRDefault="006A6D71" w:rsidP="006A6D71">
      <w:pPr>
        <w:autoSpaceDE w:val="0"/>
        <w:autoSpaceDN w:val="0"/>
        <w:adjustRightInd w:val="0"/>
        <w:spacing w:line="360" w:lineRule="auto"/>
        <w:jc w:val="both"/>
        <w:rPr>
          <w:rFonts w:eastAsiaTheme="minorHAnsi"/>
          <w:lang w:val="en-US" w:eastAsia="en-US"/>
        </w:rPr>
      </w:pPr>
    </w:p>
    <w:p w14:paraId="0CAE8F99" w14:textId="778252BA" w:rsidR="006A6D71" w:rsidRPr="005B4804" w:rsidRDefault="005B4804" w:rsidP="005B4804">
      <w:pPr>
        <w:pStyle w:val="ListParagraph"/>
        <w:numPr>
          <w:ilvl w:val="1"/>
          <w:numId w:val="4"/>
        </w:numPr>
        <w:autoSpaceDE w:val="0"/>
        <w:autoSpaceDN w:val="0"/>
        <w:adjustRightInd w:val="0"/>
        <w:spacing w:line="360" w:lineRule="auto"/>
        <w:jc w:val="both"/>
        <w:rPr>
          <w:rFonts w:eastAsiaTheme="minorHAnsi"/>
          <w:b/>
          <w:bCs/>
          <w:lang w:val="en-US" w:eastAsia="en-US"/>
        </w:rPr>
      </w:pPr>
      <w:r w:rsidRPr="005B4804">
        <w:rPr>
          <w:rFonts w:eastAsiaTheme="minorHAnsi"/>
          <w:b/>
          <w:bCs/>
          <w:lang w:val="en-US" w:eastAsia="en-US"/>
        </w:rPr>
        <w:t xml:space="preserve"> </w:t>
      </w:r>
      <w:r w:rsidR="006A6D71" w:rsidRPr="005B4804">
        <w:rPr>
          <w:rFonts w:eastAsiaTheme="minorHAnsi"/>
          <w:b/>
          <w:bCs/>
          <w:lang w:val="en-US" w:eastAsia="en-US"/>
        </w:rPr>
        <w:t xml:space="preserve">Militant </w:t>
      </w:r>
      <w:r w:rsidR="00C65370" w:rsidRPr="005B4804">
        <w:rPr>
          <w:rFonts w:eastAsiaTheme="minorHAnsi"/>
          <w:b/>
          <w:bCs/>
          <w:lang w:val="en-US" w:eastAsia="en-US"/>
        </w:rPr>
        <w:t>D</w:t>
      </w:r>
      <w:r w:rsidR="006A6D71" w:rsidRPr="005B4804">
        <w:rPr>
          <w:rFonts w:eastAsiaTheme="minorHAnsi"/>
          <w:b/>
          <w:bCs/>
          <w:lang w:val="en-US" w:eastAsia="en-US"/>
        </w:rPr>
        <w:t xml:space="preserve">emocracy </w:t>
      </w:r>
      <w:r w:rsidR="00FD5420" w:rsidRPr="005B4804">
        <w:rPr>
          <w:rFonts w:eastAsiaTheme="minorHAnsi"/>
          <w:b/>
          <w:bCs/>
          <w:lang w:val="en-US" w:eastAsia="en-US"/>
        </w:rPr>
        <w:t xml:space="preserve">is not Identitarian Democracy </w:t>
      </w:r>
    </w:p>
    <w:p w14:paraId="037AA996" w14:textId="5010EF4D" w:rsidR="00256067" w:rsidRPr="004033B1" w:rsidRDefault="00256067" w:rsidP="00256067">
      <w:pPr>
        <w:autoSpaceDE w:val="0"/>
        <w:autoSpaceDN w:val="0"/>
        <w:adjustRightInd w:val="0"/>
        <w:spacing w:line="360" w:lineRule="auto"/>
        <w:jc w:val="both"/>
        <w:rPr>
          <w:rFonts w:eastAsiaTheme="minorHAnsi"/>
          <w:b/>
          <w:bCs/>
          <w:lang w:val="en-US" w:eastAsia="en-US"/>
        </w:rPr>
      </w:pPr>
    </w:p>
    <w:p w14:paraId="5D74DC9B" w14:textId="3E9264D6" w:rsidR="00014F8E" w:rsidRDefault="002C7DE3" w:rsidP="00014F8E">
      <w:pPr>
        <w:autoSpaceDE w:val="0"/>
        <w:autoSpaceDN w:val="0"/>
        <w:adjustRightInd w:val="0"/>
        <w:spacing w:line="360" w:lineRule="auto"/>
        <w:ind w:firstLine="360"/>
        <w:jc w:val="both"/>
        <w:rPr>
          <w:rFonts w:eastAsiaTheme="minorHAnsi"/>
          <w:lang w:val="en-US" w:eastAsia="en-US"/>
        </w:rPr>
      </w:pPr>
      <w:r w:rsidRPr="004033B1">
        <w:rPr>
          <w:rFonts w:eastAsiaTheme="minorHAnsi"/>
          <w:lang w:val="en-US" w:eastAsia="en-US"/>
        </w:rPr>
        <w:t xml:space="preserve">Ginsburg and Huq are right – </w:t>
      </w:r>
      <w:r w:rsidR="00F1442A" w:rsidRPr="004033B1">
        <w:rPr>
          <w:rFonts w:eastAsiaTheme="minorHAnsi"/>
          <w:lang w:val="en-US" w:eastAsia="en-US"/>
        </w:rPr>
        <w:t xml:space="preserve">the </w:t>
      </w:r>
      <w:r w:rsidRPr="004033B1">
        <w:rPr>
          <w:rFonts w:eastAsiaTheme="minorHAnsi"/>
          <w:lang w:val="en-US" w:eastAsia="en-US"/>
        </w:rPr>
        <w:t xml:space="preserve">European Human Rights Law treats </w:t>
      </w:r>
      <w:r w:rsidR="00976383">
        <w:rPr>
          <w:rFonts w:eastAsiaTheme="minorHAnsi"/>
          <w:lang w:val="en-US" w:eastAsia="en-US"/>
        </w:rPr>
        <w:t>the</w:t>
      </w:r>
      <w:r w:rsidR="000B19FB" w:rsidRPr="004033B1">
        <w:rPr>
          <w:rFonts w:eastAsiaTheme="minorHAnsi"/>
          <w:lang w:val="en-US" w:eastAsia="en-US"/>
        </w:rPr>
        <w:t xml:space="preserve"> choice to wear Muslim garb as a threat to the democratic order. </w:t>
      </w:r>
      <w:r w:rsidR="008C1B8F" w:rsidRPr="004033B1">
        <w:rPr>
          <w:rFonts w:eastAsiaTheme="minorHAnsi"/>
          <w:lang w:val="en-US" w:eastAsia="en-US"/>
        </w:rPr>
        <w:t>A</w:t>
      </w:r>
      <w:r w:rsidR="00D96C7B" w:rsidRPr="004033B1">
        <w:rPr>
          <w:rFonts w:eastAsiaTheme="minorHAnsi"/>
          <w:lang w:val="en-US" w:eastAsia="en-US"/>
        </w:rPr>
        <w:t xml:space="preserve">t a closer analysis, </w:t>
      </w:r>
      <w:r w:rsidR="0008254E" w:rsidRPr="004033B1">
        <w:rPr>
          <w:rFonts w:eastAsiaTheme="minorHAnsi"/>
          <w:lang w:val="en-US" w:eastAsia="en-US"/>
        </w:rPr>
        <w:t xml:space="preserve">under the European Human Rights Law, </w:t>
      </w:r>
      <w:r w:rsidR="00F1442A" w:rsidRPr="004033B1">
        <w:rPr>
          <w:rFonts w:eastAsiaTheme="minorHAnsi"/>
          <w:lang w:val="en-US" w:eastAsia="en-US"/>
        </w:rPr>
        <w:t>t</w:t>
      </w:r>
      <w:r w:rsidR="000B19FB" w:rsidRPr="004033B1">
        <w:rPr>
          <w:rFonts w:eastAsiaTheme="minorHAnsi"/>
          <w:lang w:val="en-US" w:eastAsia="en-US"/>
        </w:rPr>
        <w:t xml:space="preserve">he Muslim women wearing </w:t>
      </w:r>
      <w:r w:rsidR="00512F74" w:rsidRPr="004033B1">
        <w:rPr>
          <w:rFonts w:eastAsiaTheme="minorHAnsi"/>
          <w:lang w:val="en-US" w:eastAsia="en-US"/>
        </w:rPr>
        <w:t xml:space="preserve">full-face </w:t>
      </w:r>
      <w:r w:rsidR="000B19FB" w:rsidRPr="004033B1">
        <w:rPr>
          <w:rFonts w:eastAsiaTheme="minorHAnsi"/>
          <w:lang w:val="en-US" w:eastAsia="en-US"/>
        </w:rPr>
        <w:t xml:space="preserve">veils or </w:t>
      </w:r>
      <w:proofErr w:type="spellStart"/>
      <w:r w:rsidR="000B19FB" w:rsidRPr="004033B1">
        <w:rPr>
          <w:rFonts w:eastAsiaTheme="minorHAnsi"/>
          <w:i/>
          <w:iCs/>
          <w:lang w:val="en-US" w:eastAsia="en-US"/>
        </w:rPr>
        <w:t>jijabs</w:t>
      </w:r>
      <w:proofErr w:type="spellEnd"/>
      <w:r w:rsidR="000B19FB" w:rsidRPr="004033B1">
        <w:rPr>
          <w:rFonts w:eastAsiaTheme="minorHAnsi"/>
          <w:lang w:val="en-US" w:eastAsia="en-US"/>
        </w:rPr>
        <w:t xml:space="preserve"> </w:t>
      </w:r>
      <w:r w:rsidR="00F1442A" w:rsidRPr="004033B1">
        <w:rPr>
          <w:rFonts w:eastAsiaTheme="minorHAnsi"/>
          <w:lang w:val="en-US" w:eastAsia="en-US"/>
        </w:rPr>
        <w:t>have been</w:t>
      </w:r>
      <w:r w:rsidR="00512F74" w:rsidRPr="004033B1">
        <w:rPr>
          <w:rFonts w:eastAsiaTheme="minorHAnsi"/>
          <w:lang w:val="en-US" w:eastAsia="en-US"/>
        </w:rPr>
        <w:t xml:space="preserve"> </w:t>
      </w:r>
      <w:r w:rsidR="00D96C7B" w:rsidRPr="004033B1">
        <w:rPr>
          <w:rFonts w:eastAsiaTheme="minorHAnsi"/>
          <w:lang w:val="en-US" w:eastAsia="en-US"/>
        </w:rPr>
        <w:t>considered</w:t>
      </w:r>
      <w:r w:rsidR="00512F74" w:rsidRPr="004033B1">
        <w:rPr>
          <w:rFonts w:eastAsiaTheme="minorHAnsi"/>
          <w:lang w:val="en-US" w:eastAsia="en-US"/>
        </w:rPr>
        <w:t xml:space="preserve"> enemies of democracy</w:t>
      </w:r>
      <w:r w:rsidR="00D96C7B" w:rsidRPr="004033B1">
        <w:rPr>
          <w:rFonts w:eastAsiaTheme="minorHAnsi"/>
          <w:lang w:val="en-US" w:eastAsia="en-US"/>
        </w:rPr>
        <w:t xml:space="preserve">, no matter how irrational this may be. </w:t>
      </w:r>
      <w:r w:rsidR="000B19FB" w:rsidRPr="004033B1">
        <w:rPr>
          <w:rFonts w:eastAsiaTheme="minorHAnsi"/>
          <w:lang w:val="en-US" w:eastAsia="en-US"/>
        </w:rPr>
        <w:t>But this is wrong</w:t>
      </w:r>
      <w:r w:rsidR="00F1442A" w:rsidRPr="004033B1">
        <w:rPr>
          <w:rFonts w:eastAsiaTheme="minorHAnsi"/>
          <w:lang w:val="en-US" w:eastAsia="en-US"/>
        </w:rPr>
        <w:t xml:space="preserve">. </w:t>
      </w:r>
      <w:r w:rsidR="00D96C7B" w:rsidRPr="004033B1">
        <w:rPr>
          <w:rFonts w:eastAsiaTheme="minorHAnsi"/>
          <w:lang w:val="en-US" w:eastAsia="en-US"/>
        </w:rPr>
        <w:t xml:space="preserve">It is fully possible </w:t>
      </w:r>
      <w:r w:rsidR="00FD5420">
        <w:rPr>
          <w:rFonts w:eastAsiaTheme="minorHAnsi"/>
          <w:lang w:val="en-US" w:eastAsia="en-US"/>
        </w:rPr>
        <w:t xml:space="preserve">not only </w:t>
      </w:r>
      <w:r w:rsidR="00D96C7B" w:rsidRPr="004033B1">
        <w:rPr>
          <w:rFonts w:eastAsiaTheme="minorHAnsi"/>
          <w:lang w:val="en-US" w:eastAsia="en-US"/>
        </w:rPr>
        <w:t xml:space="preserve">to </w:t>
      </w:r>
      <w:r w:rsidR="0008254E" w:rsidRPr="004033B1">
        <w:rPr>
          <w:rFonts w:eastAsiaTheme="minorHAnsi"/>
          <w:lang w:val="en-US" w:eastAsia="en-US"/>
        </w:rPr>
        <w:t xml:space="preserve">defend </w:t>
      </w:r>
      <w:r w:rsidR="00FD5420">
        <w:rPr>
          <w:rFonts w:eastAsiaTheme="minorHAnsi"/>
          <w:lang w:val="en-US" w:eastAsia="en-US"/>
        </w:rPr>
        <w:t xml:space="preserve">the </w:t>
      </w:r>
      <w:r w:rsidR="00D96C7B" w:rsidRPr="004033B1">
        <w:rPr>
          <w:rFonts w:eastAsiaTheme="minorHAnsi"/>
          <w:lang w:val="en-US" w:eastAsia="en-US"/>
        </w:rPr>
        <w:t xml:space="preserve">Muslim women’ right to wear the Islamic veil </w:t>
      </w:r>
      <w:r w:rsidR="008C1B8F" w:rsidRPr="004033B1">
        <w:rPr>
          <w:rFonts w:eastAsiaTheme="minorHAnsi"/>
          <w:lang w:val="en-US" w:eastAsia="en-US"/>
        </w:rPr>
        <w:t>under</w:t>
      </w:r>
      <w:r w:rsidR="0008254E" w:rsidRPr="004033B1">
        <w:rPr>
          <w:rFonts w:eastAsiaTheme="minorHAnsi"/>
          <w:lang w:val="en-US" w:eastAsia="en-US"/>
        </w:rPr>
        <w:t xml:space="preserve"> the European Human Rights Law </w:t>
      </w:r>
      <w:r w:rsidR="00FD5420">
        <w:rPr>
          <w:rFonts w:eastAsiaTheme="minorHAnsi"/>
          <w:lang w:val="en-US" w:eastAsia="en-US"/>
        </w:rPr>
        <w:t xml:space="preserve">but also to oppose mutations of militant democracy in freedom of religion cases. This is not the place for </w:t>
      </w:r>
      <w:r w:rsidR="003C099E">
        <w:rPr>
          <w:rFonts w:eastAsiaTheme="minorHAnsi"/>
          <w:lang w:val="en-US" w:eastAsia="en-US"/>
        </w:rPr>
        <w:t>a</w:t>
      </w:r>
      <w:r w:rsidR="00FD5420">
        <w:rPr>
          <w:rFonts w:eastAsiaTheme="minorHAnsi"/>
          <w:lang w:val="en-US" w:eastAsia="en-US"/>
        </w:rPr>
        <w:t xml:space="preserve"> full discussion o</w:t>
      </w:r>
      <w:r w:rsidR="003C099E">
        <w:rPr>
          <w:rFonts w:eastAsiaTheme="minorHAnsi"/>
          <w:lang w:val="en-US" w:eastAsia="en-US"/>
        </w:rPr>
        <w:t>f</w:t>
      </w:r>
      <w:r w:rsidR="00FD5420">
        <w:rPr>
          <w:rFonts w:eastAsiaTheme="minorHAnsi"/>
          <w:lang w:val="en-US" w:eastAsia="en-US"/>
        </w:rPr>
        <w:t xml:space="preserve"> the first claim</w:t>
      </w:r>
      <w:r w:rsidR="003C099E">
        <w:rPr>
          <w:rFonts w:eastAsiaTheme="minorHAnsi"/>
          <w:lang w:val="en-US" w:eastAsia="en-US"/>
        </w:rPr>
        <w:t xml:space="preserve">, </w:t>
      </w:r>
      <w:r w:rsidR="00FD5420">
        <w:rPr>
          <w:rFonts w:eastAsiaTheme="minorHAnsi"/>
          <w:lang w:val="en-US" w:eastAsia="en-US"/>
        </w:rPr>
        <w:t xml:space="preserve">but </w:t>
      </w:r>
      <w:r w:rsidR="003C099E">
        <w:rPr>
          <w:rFonts w:eastAsiaTheme="minorHAnsi"/>
          <w:lang w:val="en-US" w:eastAsia="en-US"/>
        </w:rPr>
        <w:t xml:space="preserve">it is for </w:t>
      </w:r>
      <w:r w:rsidR="00976383">
        <w:rPr>
          <w:rFonts w:eastAsiaTheme="minorHAnsi"/>
          <w:lang w:val="en-US" w:eastAsia="en-US"/>
        </w:rPr>
        <w:t>the</w:t>
      </w:r>
      <w:r w:rsidR="003C099E">
        <w:rPr>
          <w:rFonts w:eastAsiaTheme="minorHAnsi"/>
          <w:lang w:val="en-US" w:eastAsia="en-US"/>
        </w:rPr>
        <w:t xml:space="preserve"> second. </w:t>
      </w:r>
    </w:p>
    <w:p w14:paraId="0A9DDA57" w14:textId="115489E0" w:rsidR="001E6232" w:rsidRDefault="00F1442A" w:rsidP="00014F8E">
      <w:pPr>
        <w:autoSpaceDE w:val="0"/>
        <w:autoSpaceDN w:val="0"/>
        <w:adjustRightInd w:val="0"/>
        <w:spacing w:line="360" w:lineRule="auto"/>
        <w:ind w:firstLine="720"/>
        <w:jc w:val="both"/>
        <w:rPr>
          <w:rFonts w:eastAsiaTheme="minorHAnsi"/>
          <w:lang w:val="en-US" w:eastAsia="en-US"/>
        </w:rPr>
      </w:pPr>
      <w:r w:rsidRPr="004033B1">
        <w:rPr>
          <w:rFonts w:eastAsiaTheme="minorHAnsi"/>
          <w:lang w:val="en-US" w:eastAsia="en-US"/>
        </w:rPr>
        <w:t>It all began when the E</w:t>
      </w:r>
      <w:r w:rsidR="00CE1FCB">
        <w:rPr>
          <w:rFonts w:eastAsiaTheme="minorHAnsi"/>
          <w:lang w:val="en-US" w:eastAsia="en-US"/>
        </w:rPr>
        <w:t>CtHR</w:t>
      </w:r>
      <w:r w:rsidRPr="004033B1">
        <w:rPr>
          <w:rFonts w:eastAsiaTheme="minorHAnsi"/>
          <w:lang w:val="en-US" w:eastAsia="en-US"/>
        </w:rPr>
        <w:t xml:space="preserve"> </w:t>
      </w:r>
      <w:r w:rsidR="00511569">
        <w:rPr>
          <w:rFonts w:eastAsiaTheme="minorHAnsi"/>
          <w:lang w:val="en-US" w:eastAsia="en-US"/>
        </w:rPr>
        <w:t xml:space="preserve">in the </w:t>
      </w:r>
      <w:r w:rsidR="00511569" w:rsidRPr="00511569">
        <w:rPr>
          <w:rFonts w:eastAsiaTheme="minorHAnsi"/>
          <w:i/>
          <w:iCs/>
          <w:lang w:val="en-US" w:eastAsia="en-US"/>
        </w:rPr>
        <w:t xml:space="preserve">Leila </w:t>
      </w:r>
      <w:proofErr w:type="spellStart"/>
      <w:r w:rsidR="00511569" w:rsidRPr="00511569">
        <w:rPr>
          <w:rFonts w:eastAsiaTheme="minorHAnsi"/>
          <w:i/>
          <w:iCs/>
          <w:lang w:val="en-US" w:eastAsia="en-US"/>
        </w:rPr>
        <w:t>Sahin</w:t>
      </w:r>
      <w:proofErr w:type="spellEnd"/>
      <w:r w:rsidR="00511569">
        <w:rPr>
          <w:rFonts w:eastAsiaTheme="minorHAnsi"/>
          <w:lang w:val="en-US" w:eastAsia="en-US"/>
        </w:rPr>
        <w:t xml:space="preserve"> case </w:t>
      </w:r>
      <w:r w:rsidRPr="004033B1">
        <w:rPr>
          <w:rFonts w:eastAsiaTheme="minorHAnsi"/>
          <w:lang w:val="en-US" w:eastAsia="en-US"/>
        </w:rPr>
        <w:t xml:space="preserve">upheld the prohibition </w:t>
      </w:r>
      <w:r w:rsidR="00F06847" w:rsidRPr="004033B1">
        <w:rPr>
          <w:rFonts w:eastAsiaTheme="minorHAnsi"/>
          <w:lang w:val="en-US" w:eastAsia="en-US"/>
        </w:rPr>
        <w:t xml:space="preserve">on </w:t>
      </w:r>
      <w:r w:rsidR="00F06847" w:rsidRPr="004033B1">
        <w:rPr>
          <w:rStyle w:val="sb8d990e2"/>
          <w:color w:val="000000"/>
          <w:shd w:val="clear" w:color="auto" w:fill="FFFFFF"/>
          <w:lang w:val="en-US"/>
        </w:rPr>
        <w:t xml:space="preserve">wearing the Islamic headscarf in institutions of </w:t>
      </w:r>
      <w:r w:rsidR="00511569">
        <w:rPr>
          <w:rStyle w:val="sb8d990e2"/>
          <w:color w:val="000000"/>
          <w:shd w:val="clear" w:color="auto" w:fill="FFFFFF"/>
          <w:lang w:val="en-US"/>
        </w:rPr>
        <w:t>h</w:t>
      </w:r>
      <w:r w:rsidR="00F06847" w:rsidRPr="004033B1">
        <w:rPr>
          <w:rStyle w:val="sb8d990e2"/>
          <w:color w:val="000000"/>
          <w:shd w:val="clear" w:color="auto" w:fill="FFFFFF"/>
          <w:lang w:val="en-US"/>
        </w:rPr>
        <w:t>igher education in Turkey.</w:t>
      </w:r>
      <w:r w:rsidR="00344208">
        <w:rPr>
          <w:rStyle w:val="FootnoteReference"/>
          <w:color w:val="000000"/>
          <w:shd w:val="clear" w:color="auto" w:fill="FFFFFF"/>
          <w:lang w:val="en-US"/>
        </w:rPr>
        <w:footnoteReference w:id="57"/>
      </w:r>
      <w:r w:rsidR="00F06847" w:rsidRPr="004033B1">
        <w:rPr>
          <w:rStyle w:val="sb8d990e2"/>
          <w:color w:val="000000"/>
          <w:shd w:val="clear" w:color="auto" w:fill="FFFFFF"/>
          <w:lang w:val="en-US"/>
        </w:rPr>
        <w:t xml:space="preserve"> </w:t>
      </w:r>
      <w:r w:rsidR="008918DE" w:rsidRPr="004033B1">
        <w:rPr>
          <w:rStyle w:val="sb8d990e2"/>
          <w:color w:val="000000"/>
          <w:shd w:val="clear" w:color="auto" w:fill="FFFFFF"/>
          <w:lang w:val="en-US"/>
        </w:rPr>
        <w:t xml:space="preserve">The Court considered the </w:t>
      </w:r>
      <w:r w:rsidR="008918DE" w:rsidRPr="004033B1">
        <w:rPr>
          <w:rStyle w:val="sb8d990e2"/>
          <w:color w:val="000000"/>
          <w:shd w:val="clear" w:color="auto" w:fill="FFFFFF"/>
          <w:lang w:val="en-US"/>
        </w:rPr>
        <w:lastRenderedPageBreak/>
        <w:t>prohibition to be a preventive measure “necessary in a democratic society”</w:t>
      </w:r>
      <w:r w:rsidR="008C1B8F" w:rsidRPr="004033B1">
        <w:rPr>
          <w:rStyle w:val="sb8d990e2"/>
          <w:color w:val="000000"/>
          <w:shd w:val="clear" w:color="auto" w:fill="FFFFFF"/>
          <w:lang w:val="en-US"/>
        </w:rPr>
        <w:t xml:space="preserve"> and</w:t>
      </w:r>
      <w:r w:rsidR="0008254E" w:rsidRPr="004033B1">
        <w:rPr>
          <w:rStyle w:val="sb8d990e2"/>
          <w:color w:val="000000"/>
          <w:shd w:val="clear" w:color="auto" w:fill="FFFFFF"/>
          <w:lang w:val="en-US"/>
        </w:rPr>
        <w:t xml:space="preserve"> compatible with the principle of secularism </w:t>
      </w:r>
      <w:r w:rsidR="00B871AB" w:rsidRPr="004033B1">
        <w:rPr>
          <w:rStyle w:val="sb8d990e2"/>
          <w:color w:val="000000"/>
          <w:shd w:val="clear" w:color="auto" w:fill="FFFFFF"/>
          <w:lang w:val="en-US"/>
        </w:rPr>
        <w:t>shaped in the Turkish Constitution in militant democracy terms</w:t>
      </w:r>
      <w:r w:rsidR="008918DE" w:rsidRPr="004033B1">
        <w:rPr>
          <w:rStyle w:val="sb8d990e2"/>
          <w:color w:val="000000"/>
          <w:shd w:val="clear" w:color="auto" w:fill="FFFFFF"/>
          <w:lang w:val="en-US"/>
        </w:rPr>
        <w:t xml:space="preserve">: “In a country like Turkey, where the great majority of the population belong to a particular religion, measures taken in universities to prevent certain fundamentalist religious movements from exerting pressure on students who do not </w:t>
      </w:r>
      <w:r w:rsidR="00A8060A" w:rsidRPr="004033B1">
        <w:rPr>
          <w:rStyle w:val="sb8d990e2"/>
          <w:color w:val="000000"/>
          <w:shd w:val="clear" w:color="auto" w:fill="FFFFFF"/>
          <w:lang w:val="en-US"/>
        </w:rPr>
        <w:t>practice</w:t>
      </w:r>
      <w:r w:rsidR="008918DE" w:rsidRPr="004033B1">
        <w:rPr>
          <w:rStyle w:val="sb8d990e2"/>
          <w:color w:val="000000"/>
          <w:shd w:val="clear" w:color="auto" w:fill="FFFFFF"/>
          <w:lang w:val="en-US"/>
        </w:rPr>
        <w:t xml:space="preserve"> that religion or on those who belong to another religion may be justified under Article 9 § 2 of the Convention.”</w:t>
      </w:r>
      <w:r w:rsidR="00344208">
        <w:rPr>
          <w:rStyle w:val="FootnoteReference"/>
          <w:color w:val="000000"/>
          <w:shd w:val="clear" w:color="auto" w:fill="FFFFFF"/>
          <w:lang w:val="en-US"/>
        </w:rPr>
        <w:footnoteReference w:id="58"/>
      </w:r>
      <w:r w:rsidR="008918DE" w:rsidRPr="004033B1">
        <w:rPr>
          <w:rStyle w:val="sb8d990e2"/>
          <w:color w:val="000000"/>
          <w:shd w:val="clear" w:color="auto" w:fill="FFFFFF"/>
          <w:lang w:val="en-US"/>
        </w:rPr>
        <w:t xml:space="preserve"> </w:t>
      </w:r>
      <w:r w:rsidR="00563C2B" w:rsidRPr="004033B1">
        <w:rPr>
          <w:rFonts w:eastAsiaTheme="minorHAnsi"/>
          <w:lang w:val="en-US" w:eastAsia="en-US"/>
        </w:rPr>
        <w:t>In several subsequent cases, the Court continued to support the idea that wearing the veil was incompatible with democratic society</w:t>
      </w:r>
      <w:r w:rsidR="00551C5C" w:rsidRPr="004033B1">
        <w:rPr>
          <w:rFonts w:eastAsiaTheme="minorHAnsi"/>
          <w:lang w:val="en-US" w:eastAsia="en-US"/>
        </w:rPr>
        <w:t xml:space="preserve">. </w:t>
      </w:r>
      <w:r w:rsidR="00A8060A">
        <w:rPr>
          <w:rFonts w:eastAsiaTheme="minorHAnsi"/>
          <w:lang w:val="en-US" w:eastAsia="en-US"/>
        </w:rPr>
        <w:t xml:space="preserve">For example, </w:t>
      </w:r>
      <w:r w:rsidR="009E4534" w:rsidRPr="004033B1">
        <w:rPr>
          <w:rFonts w:eastAsiaTheme="minorHAnsi"/>
          <w:lang w:val="en-US" w:eastAsia="en-US"/>
        </w:rPr>
        <w:t>the Court</w:t>
      </w:r>
      <w:r w:rsidR="00A8060A">
        <w:rPr>
          <w:rFonts w:eastAsiaTheme="minorHAnsi"/>
          <w:lang w:val="en-US" w:eastAsia="en-US"/>
        </w:rPr>
        <w:t xml:space="preserve"> held that</w:t>
      </w:r>
      <w:r w:rsidR="009E4534" w:rsidRPr="004033B1">
        <w:rPr>
          <w:rFonts w:eastAsiaTheme="minorHAnsi"/>
          <w:lang w:val="en-US" w:eastAsia="en-US"/>
        </w:rPr>
        <w:t xml:space="preserve"> in a democratic society it </w:t>
      </w:r>
      <w:r w:rsidR="00A8060A">
        <w:rPr>
          <w:rFonts w:eastAsiaTheme="minorHAnsi"/>
          <w:lang w:val="en-US" w:eastAsia="en-US"/>
        </w:rPr>
        <w:t>was</w:t>
      </w:r>
      <w:r w:rsidR="009E4534" w:rsidRPr="004033B1">
        <w:rPr>
          <w:rFonts w:eastAsiaTheme="minorHAnsi"/>
          <w:lang w:val="en-US" w:eastAsia="en-US"/>
        </w:rPr>
        <w:t xml:space="preserve"> justified to criminalize t</w:t>
      </w:r>
      <w:r w:rsidR="00551C5C" w:rsidRPr="004033B1">
        <w:rPr>
          <w:rFonts w:eastAsiaTheme="minorHAnsi"/>
          <w:lang w:val="en-US" w:eastAsia="en-US"/>
        </w:rPr>
        <w:t xml:space="preserve">he Muslim women wearing the full-face veils </w:t>
      </w:r>
      <w:r w:rsidR="009E4534" w:rsidRPr="004033B1">
        <w:rPr>
          <w:rFonts w:eastAsiaTheme="minorHAnsi"/>
          <w:lang w:val="en-US" w:eastAsia="en-US"/>
        </w:rPr>
        <w:t>since they jeopardize</w:t>
      </w:r>
      <w:r w:rsidR="00A8060A">
        <w:rPr>
          <w:rFonts w:eastAsiaTheme="minorHAnsi"/>
          <w:lang w:val="en-US" w:eastAsia="en-US"/>
        </w:rPr>
        <w:t>d</w:t>
      </w:r>
      <w:r w:rsidR="009E4534" w:rsidRPr="004033B1">
        <w:rPr>
          <w:rFonts w:eastAsiaTheme="minorHAnsi"/>
          <w:lang w:val="en-US" w:eastAsia="en-US"/>
        </w:rPr>
        <w:t xml:space="preserve"> the rights and freedoms of others and the concept of ‘living together’</w:t>
      </w:r>
      <w:r w:rsidR="00FC4C28">
        <w:rPr>
          <w:rFonts w:eastAsiaTheme="minorHAnsi"/>
          <w:lang w:val="en-US" w:eastAsia="en-US"/>
        </w:rPr>
        <w:t xml:space="preserve"> that are at democracy core</w:t>
      </w:r>
      <w:r w:rsidR="009E4534" w:rsidRPr="004033B1">
        <w:rPr>
          <w:rFonts w:eastAsiaTheme="minorHAnsi"/>
          <w:lang w:val="en-US" w:eastAsia="en-US"/>
        </w:rPr>
        <w:t>.</w:t>
      </w:r>
      <w:r w:rsidR="00344208">
        <w:rPr>
          <w:rStyle w:val="FootnoteReference"/>
          <w:rFonts w:eastAsiaTheme="minorHAnsi"/>
          <w:lang w:val="en-US" w:eastAsia="en-US"/>
        </w:rPr>
        <w:footnoteReference w:id="59"/>
      </w:r>
      <w:r w:rsidR="009E4534" w:rsidRPr="004033B1">
        <w:rPr>
          <w:rFonts w:eastAsiaTheme="minorHAnsi"/>
          <w:lang w:val="en-US" w:eastAsia="en-US"/>
        </w:rPr>
        <w:t xml:space="preserve"> </w:t>
      </w:r>
    </w:p>
    <w:p w14:paraId="1C3F572E" w14:textId="5CED264E" w:rsidR="00864594" w:rsidRPr="000030DA" w:rsidRDefault="00864594" w:rsidP="00864594">
      <w:pPr>
        <w:autoSpaceDE w:val="0"/>
        <w:autoSpaceDN w:val="0"/>
        <w:adjustRightInd w:val="0"/>
        <w:spacing w:line="360" w:lineRule="auto"/>
        <w:ind w:firstLine="360"/>
        <w:jc w:val="both"/>
        <w:rPr>
          <w:rFonts w:eastAsiaTheme="minorHAnsi"/>
          <w:lang w:val="en-US" w:eastAsia="en-US"/>
        </w:rPr>
      </w:pPr>
      <w:r w:rsidRPr="000030DA">
        <w:rPr>
          <w:rFonts w:eastAsiaTheme="minorHAnsi"/>
          <w:lang w:val="en-US" w:eastAsia="en-US"/>
        </w:rPr>
        <w:t>Unfortunately, the Court of Justice of the European Union</w:t>
      </w:r>
      <w:r w:rsidR="00B65B47">
        <w:rPr>
          <w:rFonts w:eastAsiaTheme="minorHAnsi"/>
          <w:lang w:val="en-US" w:eastAsia="en-US"/>
        </w:rPr>
        <w:t xml:space="preserve"> (the CJEU)</w:t>
      </w:r>
      <w:r w:rsidRPr="000030DA">
        <w:rPr>
          <w:rFonts w:eastAsiaTheme="minorHAnsi"/>
          <w:lang w:val="en-US" w:eastAsia="en-US"/>
        </w:rPr>
        <w:t xml:space="preserve"> </w:t>
      </w:r>
      <w:r w:rsidR="00014F8E">
        <w:rPr>
          <w:rFonts w:eastAsiaTheme="minorHAnsi"/>
          <w:lang w:val="en-US" w:eastAsia="en-US"/>
        </w:rPr>
        <w:t xml:space="preserve">joined </w:t>
      </w:r>
      <w:r w:rsidR="00A8060A">
        <w:rPr>
          <w:rFonts w:eastAsiaTheme="minorHAnsi"/>
          <w:lang w:val="en-US" w:eastAsia="en-US"/>
        </w:rPr>
        <w:t xml:space="preserve">the ECtHR </w:t>
      </w:r>
      <w:r w:rsidR="00014F8E">
        <w:rPr>
          <w:rFonts w:eastAsiaTheme="minorHAnsi"/>
          <w:lang w:val="en-US" w:eastAsia="en-US"/>
        </w:rPr>
        <w:t xml:space="preserve">in </w:t>
      </w:r>
      <w:r w:rsidR="00A8060A">
        <w:rPr>
          <w:rFonts w:eastAsiaTheme="minorHAnsi"/>
          <w:lang w:val="en-US" w:eastAsia="en-US"/>
        </w:rPr>
        <w:t xml:space="preserve">conceptualizing the </w:t>
      </w:r>
      <w:r w:rsidR="00A8060A" w:rsidRPr="004033B1">
        <w:rPr>
          <w:rFonts w:eastAsiaTheme="minorHAnsi"/>
          <w:lang w:val="en-US" w:eastAsia="en-US"/>
        </w:rPr>
        <w:t>Islamic veil jurisprudence</w:t>
      </w:r>
      <w:r w:rsidR="00A8060A">
        <w:rPr>
          <w:shd w:val="clear" w:color="auto" w:fill="FFFFFF"/>
          <w:lang w:val="en-US"/>
        </w:rPr>
        <w:t xml:space="preserve"> on </w:t>
      </w:r>
      <w:r w:rsidRPr="000030DA">
        <w:rPr>
          <w:rFonts w:eastAsiaTheme="minorHAnsi"/>
          <w:lang w:val="en-US" w:eastAsia="en-US"/>
        </w:rPr>
        <w:t>the</w:t>
      </w:r>
      <w:r w:rsidR="003C099E">
        <w:rPr>
          <w:rFonts w:eastAsiaTheme="minorHAnsi"/>
          <w:lang w:val="en-US" w:eastAsia="en-US"/>
        </w:rPr>
        <w:t xml:space="preserve"> identitarian democracy</w:t>
      </w:r>
      <w:r w:rsidR="00A8060A">
        <w:rPr>
          <w:rFonts w:eastAsiaTheme="minorHAnsi"/>
          <w:lang w:val="en-US" w:eastAsia="en-US"/>
        </w:rPr>
        <w:t xml:space="preserve"> ground</w:t>
      </w:r>
      <w:r w:rsidR="00BB5655">
        <w:rPr>
          <w:rFonts w:eastAsiaTheme="minorHAnsi"/>
          <w:lang w:val="en-US" w:eastAsia="en-US"/>
        </w:rPr>
        <w:t>s</w:t>
      </w:r>
      <w:r w:rsidR="00BC7398">
        <w:rPr>
          <w:rFonts w:eastAsiaTheme="minorHAnsi"/>
          <w:lang w:val="en-US" w:eastAsia="en-US"/>
        </w:rPr>
        <w:t xml:space="preserve"> and</w:t>
      </w:r>
      <w:r w:rsidRPr="000030DA">
        <w:rPr>
          <w:rFonts w:eastAsiaTheme="minorHAnsi"/>
          <w:lang w:val="en-US" w:eastAsia="en-US"/>
        </w:rPr>
        <w:t xml:space="preserve"> under the notion of neutrality.</w:t>
      </w:r>
      <w:r w:rsidR="00F02A4A">
        <w:rPr>
          <w:rStyle w:val="FootnoteReference"/>
          <w:rFonts w:eastAsiaTheme="minorHAnsi"/>
          <w:lang w:val="en-US" w:eastAsia="en-US"/>
        </w:rPr>
        <w:footnoteReference w:id="60"/>
      </w:r>
      <w:r w:rsidRPr="000030DA">
        <w:rPr>
          <w:rFonts w:eastAsiaTheme="minorHAnsi"/>
          <w:lang w:val="en-US" w:eastAsia="en-US"/>
        </w:rPr>
        <w:t xml:space="preserve"> The C</w:t>
      </w:r>
      <w:r w:rsidR="00A8060A">
        <w:rPr>
          <w:rFonts w:eastAsiaTheme="minorHAnsi"/>
          <w:lang w:val="en-US" w:eastAsia="en-US"/>
        </w:rPr>
        <w:t>JEU</w:t>
      </w:r>
      <w:r w:rsidRPr="000030DA">
        <w:rPr>
          <w:rFonts w:eastAsiaTheme="minorHAnsi"/>
          <w:lang w:val="en-US" w:eastAsia="en-US"/>
        </w:rPr>
        <w:t xml:space="preserve"> upheld the Fr</w:t>
      </w:r>
      <w:r w:rsidR="00976383">
        <w:rPr>
          <w:rFonts w:eastAsiaTheme="minorHAnsi"/>
          <w:lang w:val="en-US" w:eastAsia="en-US"/>
        </w:rPr>
        <w:t>a</w:t>
      </w:r>
      <w:r w:rsidRPr="000030DA">
        <w:rPr>
          <w:rFonts w:eastAsiaTheme="minorHAnsi"/>
          <w:lang w:val="en-US" w:eastAsia="en-US"/>
        </w:rPr>
        <w:t>n</w:t>
      </w:r>
      <w:r w:rsidR="00976383">
        <w:rPr>
          <w:rFonts w:eastAsiaTheme="minorHAnsi"/>
          <w:lang w:val="en-US" w:eastAsia="en-US"/>
        </w:rPr>
        <w:t>ce</w:t>
      </w:r>
      <w:r w:rsidRPr="000030DA">
        <w:rPr>
          <w:rFonts w:eastAsiaTheme="minorHAnsi"/>
          <w:lang w:val="en-US" w:eastAsia="en-US"/>
        </w:rPr>
        <w:t>’s and Belgium’s private companies’ dress policies which banned the employees to wear a headscarf. Without considering an employee’s right to manifest her religion, the C</w:t>
      </w:r>
      <w:r w:rsidR="00A8060A">
        <w:rPr>
          <w:rFonts w:eastAsiaTheme="minorHAnsi"/>
          <w:lang w:val="en-US" w:eastAsia="en-US"/>
        </w:rPr>
        <w:t>JEU</w:t>
      </w:r>
      <w:r w:rsidRPr="000030DA">
        <w:rPr>
          <w:rFonts w:eastAsiaTheme="minorHAnsi"/>
          <w:lang w:val="en-US" w:eastAsia="en-US"/>
        </w:rPr>
        <w:t xml:space="preserve"> declared that the provision </w:t>
      </w:r>
      <w:r>
        <w:rPr>
          <w:rFonts w:eastAsiaTheme="minorHAnsi"/>
          <w:lang w:val="en-US" w:eastAsia="en-US"/>
        </w:rPr>
        <w:t xml:space="preserve">aiming </w:t>
      </w:r>
      <w:r w:rsidRPr="000030DA">
        <w:rPr>
          <w:rFonts w:eastAsiaTheme="minorHAnsi"/>
          <w:lang w:val="en-US" w:eastAsia="en-US"/>
        </w:rPr>
        <w:t xml:space="preserve">to neutralize the religious belief </w:t>
      </w:r>
      <w:r w:rsidRPr="000030DA">
        <w:rPr>
          <w:shd w:val="clear" w:color="auto" w:fill="FFFFFF"/>
        </w:rPr>
        <w:t xml:space="preserve">could be justified </w:t>
      </w:r>
      <w:r w:rsidRPr="000030DA">
        <w:rPr>
          <w:shd w:val="clear" w:color="auto" w:fill="FFFFFF"/>
          <w:lang w:val="en-US"/>
        </w:rPr>
        <w:t xml:space="preserve">if it </w:t>
      </w:r>
      <w:r>
        <w:rPr>
          <w:shd w:val="clear" w:color="auto" w:fill="FFFFFF"/>
          <w:lang w:val="en-US"/>
        </w:rPr>
        <w:t>was designed</w:t>
      </w:r>
      <w:r w:rsidRPr="000030DA">
        <w:rPr>
          <w:shd w:val="clear" w:color="auto" w:fill="FFFFFF"/>
          <w:lang w:val="en-US"/>
        </w:rPr>
        <w:t xml:space="preserve"> to achieve </w:t>
      </w:r>
      <w:r w:rsidRPr="000030DA">
        <w:rPr>
          <w:shd w:val="clear" w:color="auto" w:fill="FFFFFF"/>
        </w:rPr>
        <w:t xml:space="preserve">corporate neutrality, and if the means of achieving that aim </w:t>
      </w:r>
      <w:r w:rsidRPr="000030DA">
        <w:rPr>
          <w:shd w:val="clear" w:color="auto" w:fill="FFFFFF"/>
          <w:lang w:val="en-US"/>
        </w:rPr>
        <w:t>were</w:t>
      </w:r>
      <w:r w:rsidRPr="000030DA">
        <w:rPr>
          <w:shd w:val="clear" w:color="auto" w:fill="FFFFFF"/>
        </w:rPr>
        <w:t xml:space="preserve"> appropriate and necessary</w:t>
      </w:r>
      <w:r w:rsidRPr="000030DA">
        <w:rPr>
          <w:shd w:val="clear" w:color="auto" w:fill="FFFFFF"/>
          <w:lang w:val="en-US"/>
        </w:rPr>
        <w:t>.</w:t>
      </w:r>
      <w:r w:rsidR="00F02A4A">
        <w:rPr>
          <w:rStyle w:val="FootnoteReference"/>
          <w:shd w:val="clear" w:color="auto" w:fill="FFFFFF"/>
          <w:lang w:val="en-US"/>
        </w:rPr>
        <w:footnoteReference w:id="61"/>
      </w:r>
      <w:r w:rsidRPr="000030DA">
        <w:rPr>
          <w:shd w:val="clear" w:color="auto" w:fill="FFFFFF"/>
          <w:lang w:val="en-US"/>
        </w:rPr>
        <w:t xml:space="preserve"> </w:t>
      </w:r>
    </w:p>
    <w:p w14:paraId="45003D3A" w14:textId="0A84853C" w:rsidR="00864594" w:rsidRPr="004033B1" w:rsidRDefault="00014F8E" w:rsidP="00864594">
      <w:pPr>
        <w:autoSpaceDE w:val="0"/>
        <w:autoSpaceDN w:val="0"/>
        <w:adjustRightInd w:val="0"/>
        <w:spacing w:line="360" w:lineRule="auto"/>
        <w:ind w:firstLine="360"/>
        <w:jc w:val="both"/>
        <w:rPr>
          <w:rFonts w:eastAsiaTheme="minorHAnsi"/>
          <w:lang w:val="en-US" w:eastAsia="en-US"/>
        </w:rPr>
      </w:pPr>
      <w:r>
        <w:rPr>
          <w:shd w:val="clear" w:color="auto" w:fill="FFFFFF"/>
          <w:lang w:val="en-US"/>
        </w:rPr>
        <w:t xml:space="preserve"> </w:t>
      </w:r>
      <w:r>
        <w:rPr>
          <w:shd w:val="clear" w:color="auto" w:fill="FFFFFF"/>
          <w:lang w:val="en-US"/>
        </w:rPr>
        <w:tab/>
      </w:r>
      <w:r w:rsidR="00A8060A">
        <w:rPr>
          <w:shd w:val="clear" w:color="auto" w:fill="FFFFFF"/>
          <w:lang w:val="en-US"/>
        </w:rPr>
        <w:t xml:space="preserve">Now, </w:t>
      </w:r>
      <w:r w:rsidR="00FE36D4">
        <w:rPr>
          <w:shd w:val="clear" w:color="auto" w:fill="FFFFFF"/>
          <w:lang w:val="en-US"/>
        </w:rPr>
        <w:t xml:space="preserve">a </w:t>
      </w:r>
      <w:r w:rsidR="00864594">
        <w:rPr>
          <w:shd w:val="clear" w:color="auto" w:fill="FFFFFF"/>
          <w:lang w:val="en-US"/>
        </w:rPr>
        <w:t xml:space="preserve">big loser in the European </w:t>
      </w:r>
      <w:r w:rsidRPr="004033B1">
        <w:rPr>
          <w:rFonts w:eastAsiaTheme="minorHAnsi"/>
          <w:lang w:val="en-US" w:eastAsia="en-US"/>
        </w:rPr>
        <w:t>Islamic veil jurisprudence</w:t>
      </w:r>
      <w:r>
        <w:rPr>
          <w:shd w:val="clear" w:color="auto" w:fill="FFFFFF"/>
          <w:lang w:val="en-US"/>
        </w:rPr>
        <w:t xml:space="preserve"> </w:t>
      </w:r>
      <w:r w:rsidR="00864594">
        <w:rPr>
          <w:shd w:val="clear" w:color="auto" w:fill="FFFFFF"/>
          <w:lang w:val="en-US"/>
        </w:rPr>
        <w:t xml:space="preserve">is democracy itself. </w:t>
      </w:r>
      <w:r w:rsidR="00864594">
        <w:rPr>
          <w:rFonts w:eastAsiaTheme="minorHAnsi"/>
          <w:lang w:val="en-US" w:eastAsia="en-US"/>
        </w:rPr>
        <w:t>B</w:t>
      </w:r>
      <w:r w:rsidR="00864594" w:rsidRPr="004033B1">
        <w:rPr>
          <w:rFonts w:eastAsiaTheme="minorHAnsi"/>
          <w:lang w:val="en-US" w:eastAsia="en-US"/>
        </w:rPr>
        <w:t xml:space="preserve">oth </w:t>
      </w:r>
      <w:r w:rsidR="00A8060A">
        <w:rPr>
          <w:rFonts w:eastAsiaTheme="minorHAnsi"/>
          <w:lang w:val="en-US" w:eastAsia="en-US"/>
        </w:rPr>
        <w:t xml:space="preserve">European </w:t>
      </w:r>
      <w:r w:rsidR="00864594" w:rsidRPr="004033B1">
        <w:rPr>
          <w:rFonts w:eastAsiaTheme="minorHAnsi"/>
          <w:lang w:val="en-US" w:eastAsia="en-US"/>
        </w:rPr>
        <w:t xml:space="preserve">courts, </w:t>
      </w:r>
      <w:r w:rsidR="00864594">
        <w:rPr>
          <w:rFonts w:eastAsiaTheme="minorHAnsi"/>
          <w:lang w:val="en-US" w:eastAsia="en-US"/>
        </w:rPr>
        <w:t>aggressively (the EC</w:t>
      </w:r>
      <w:r w:rsidR="00A8060A">
        <w:rPr>
          <w:rFonts w:eastAsiaTheme="minorHAnsi"/>
          <w:lang w:val="en-US" w:eastAsia="en-US"/>
        </w:rPr>
        <w:t>tHR</w:t>
      </w:r>
      <w:r w:rsidR="00864594">
        <w:rPr>
          <w:rFonts w:eastAsiaTheme="minorHAnsi"/>
          <w:lang w:val="en-US" w:eastAsia="en-US"/>
        </w:rPr>
        <w:t xml:space="preserve">) or passively (the CJEU) </w:t>
      </w:r>
      <w:r w:rsidR="00864594" w:rsidRPr="004033B1">
        <w:rPr>
          <w:rFonts w:eastAsiaTheme="minorHAnsi"/>
          <w:lang w:val="en-US" w:eastAsia="en-US"/>
        </w:rPr>
        <w:t xml:space="preserve">have reinterpreted the freedom of religion rights, to borrow from </w:t>
      </w:r>
      <w:r w:rsidR="00BD29CA">
        <w:rPr>
          <w:rFonts w:eastAsiaTheme="minorHAnsi"/>
          <w:lang w:val="en-US" w:eastAsia="en-US"/>
        </w:rPr>
        <w:t xml:space="preserve">Susanna </w:t>
      </w:r>
      <w:r w:rsidR="00864594" w:rsidRPr="004033B1">
        <w:rPr>
          <w:rFonts w:eastAsiaTheme="minorHAnsi"/>
          <w:lang w:val="en-US" w:eastAsia="en-US"/>
        </w:rPr>
        <w:t xml:space="preserve">Mancini and </w:t>
      </w:r>
      <w:r w:rsidR="00BD29CA">
        <w:rPr>
          <w:rFonts w:eastAsiaTheme="minorHAnsi"/>
          <w:lang w:val="en-US" w:eastAsia="en-US"/>
        </w:rPr>
        <w:t xml:space="preserve">Michel </w:t>
      </w:r>
      <w:r w:rsidR="00864594" w:rsidRPr="004033B1">
        <w:rPr>
          <w:rFonts w:eastAsiaTheme="minorHAnsi"/>
          <w:lang w:val="en-US" w:eastAsia="en-US"/>
        </w:rPr>
        <w:t>Rosenfeld “in ways that disadvantage or exclude the rights asserted by Muslims.”</w:t>
      </w:r>
      <w:r w:rsidR="00F02A4A">
        <w:rPr>
          <w:rStyle w:val="FootnoteReference"/>
          <w:rFonts w:eastAsiaTheme="minorHAnsi"/>
          <w:lang w:val="en-US" w:eastAsia="en-US"/>
        </w:rPr>
        <w:footnoteReference w:id="62"/>
      </w:r>
      <w:r w:rsidR="00864594" w:rsidRPr="004033B1">
        <w:rPr>
          <w:rFonts w:eastAsiaTheme="minorHAnsi"/>
          <w:lang w:val="en-US" w:eastAsia="en-US"/>
        </w:rPr>
        <w:t xml:space="preserve"> </w:t>
      </w:r>
      <w:r w:rsidR="00864594">
        <w:rPr>
          <w:shd w:val="clear" w:color="auto" w:fill="FFFFFF"/>
          <w:lang w:val="en-US"/>
        </w:rPr>
        <w:t xml:space="preserve">But </w:t>
      </w:r>
      <w:r w:rsidR="00864594">
        <w:rPr>
          <w:rFonts w:eastAsiaTheme="minorHAnsi"/>
          <w:lang w:val="en-US" w:eastAsia="en-US"/>
        </w:rPr>
        <w:t>s</w:t>
      </w:r>
      <w:r w:rsidR="00864594" w:rsidRPr="004033B1">
        <w:rPr>
          <w:rFonts w:eastAsiaTheme="minorHAnsi"/>
          <w:lang w:val="en-US" w:eastAsia="en-US"/>
        </w:rPr>
        <w:t xml:space="preserve">hould this be </w:t>
      </w:r>
      <w:r>
        <w:rPr>
          <w:rFonts w:eastAsiaTheme="minorHAnsi"/>
          <w:lang w:val="en-US" w:eastAsia="en-US"/>
        </w:rPr>
        <w:t xml:space="preserve">assigned </w:t>
      </w:r>
      <w:r w:rsidR="00864594">
        <w:rPr>
          <w:rFonts w:eastAsiaTheme="minorHAnsi"/>
          <w:lang w:val="en-US" w:eastAsia="en-US"/>
        </w:rPr>
        <w:t>to</w:t>
      </w:r>
      <w:r w:rsidR="00864594" w:rsidRPr="004033B1">
        <w:rPr>
          <w:rFonts w:eastAsiaTheme="minorHAnsi"/>
          <w:lang w:val="en-US" w:eastAsia="en-US"/>
        </w:rPr>
        <w:t xml:space="preserve"> </w:t>
      </w:r>
      <w:r w:rsidR="009178B4">
        <w:rPr>
          <w:rFonts w:eastAsiaTheme="minorHAnsi"/>
          <w:lang w:val="en-US" w:eastAsia="en-US"/>
        </w:rPr>
        <w:t xml:space="preserve">the </w:t>
      </w:r>
      <w:r w:rsidR="00BC7398">
        <w:rPr>
          <w:rFonts w:eastAsiaTheme="minorHAnsi"/>
          <w:lang w:val="en-US" w:eastAsia="en-US"/>
        </w:rPr>
        <w:t xml:space="preserve">correct </w:t>
      </w:r>
      <w:r w:rsidR="009178B4">
        <w:rPr>
          <w:rFonts w:eastAsiaTheme="minorHAnsi"/>
          <w:lang w:val="en-US" w:eastAsia="en-US"/>
        </w:rPr>
        <w:t xml:space="preserve">enforcement of </w:t>
      </w:r>
      <w:r w:rsidR="00864594" w:rsidRPr="004033B1">
        <w:rPr>
          <w:rFonts w:eastAsiaTheme="minorHAnsi"/>
          <w:lang w:val="en-US" w:eastAsia="en-US"/>
        </w:rPr>
        <w:t>militant democracy</w:t>
      </w:r>
      <w:r w:rsidR="00A8060A">
        <w:rPr>
          <w:rFonts w:eastAsiaTheme="minorHAnsi"/>
          <w:lang w:val="en-US" w:eastAsia="en-US"/>
        </w:rPr>
        <w:t xml:space="preserve"> principles</w:t>
      </w:r>
      <w:r w:rsidR="00864594" w:rsidRPr="004033B1">
        <w:rPr>
          <w:rFonts w:eastAsiaTheme="minorHAnsi"/>
          <w:lang w:val="en-US" w:eastAsia="en-US"/>
        </w:rPr>
        <w:t xml:space="preserve">?  I think </w:t>
      </w:r>
      <w:r w:rsidR="00FE36D4">
        <w:rPr>
          <w:rFonts w:eastAsiaTheme="minorHAnsi"/>
          <w:lang w:val="en-US" w:eastAsia="en-US"/>
        </w:rPr>
        <w:t xml:space="preserve">it should </w:t>
      </w:r>
      <w:r w:rsidR="00864594" w:rsidRPr="004033B1">
        <w:rPr>
          <w:rFonts w:eastAsiaTheme="minorHAnsi"/>
          <w:lang w:val="en-US" w:eastAsia="en-US"/>
        </w:rPr>
        <w:t xml:space="preserve">not.  </w:t>
      </w:r>
    </w:p>
    <w:p w14:paraId="324720A9" w14:textId="09109829" w:rsidR="007B2F30" w:rsidRDefault="003C099E" w:rsidP="007B2F30">
      <w:pPr>
        <w:autoSpaceDE w:val="0"/>
        <w:autoSpaceDN w:val="0"/>
        <w:adjustRightInd w:val="0"/>
        <w:spacing w:line="360" w:lineRule="auto"/>
        <w:ind w:firstLine="720"/>
        <w:jc w:val="both"/>
        <w:rPr>
          <w:rFonts w:eastAsiaTheme="minorHAnsi"/>
          <w:lang w:val="en-US" w:eastAsia="en-US"/>
        </w:rPr>
      </w:pPr>
      <w:r>
        <w:rPr>
          <w:rFonts w:eastAsiaTheme="minorHAnsi"/>
          <w:lang w:val="en-US" w:eastAsia="en-US"/>
        </w:rPr>
        <w:t xml:space="preserve">The concept of militant democracy supports the idea of suppressing those who want to destroy democracy from within, by using constitutionally enriched democratic values. The claim that </w:t>
      </w:r>
      <w:r w:rsidR="003702F1">
        <w:rPr>
          <w:rFonts w:eastAsiaTheme="minorHAnsi"/>
          <w:lang w:val="en-US" w:eastAsia="en-US"/>
        </w:rPr>
        <w:t>a</w:t>
      </w:r>
      <w:r>
        <w:rPr>
          <w:rFonts w:eastAsiaTheme="minorHAnsi"/>
          <w:lang w:val="en-US" w:eastAsia="en-US"/>
        </w:rPr>
        <w:t xml:space="preserve"> Muslim</w:t>
      </w:r>
      <w:r w:rsidR="003702F1">
        <w:rPr>
          <w:rFonts w:eastAsiaTheme="minorHAnsi"/>
          <w:lang w:val="en-US" w:eastAsia="en-US"/>
        </w:rPr>
        <w:t xml:space="preserve"> woman</w:t>
      </w:r>
      <w:r w:rsidR="00FE36D4">
        <w:rPr>
          <w:rFonts w:eastAsiaTheme="minorHAnsi"/>
          <w:lang w:val="en-US" w:eastAsia="en-US"/>
        </w:rPr>
        <w:t>,</w:t>
      </w:r>
      <w:r w:rsidR="003702F1">
        <w:rPr>
          <w:rFonts w:eastAsiaTheme="minorHAnsi"/>
          <w:lang w:val="en-US" w:eastAsia="en-US"/>
        </w:rPr>
        <w:t xml:space="preserve"> by choosing</w:t>
      </w:r>
      <w:r>
        <w:rPr>
          <w:rFonts w:eastAsiaTheme="minorHAnsi"/>
          <w:lang w:val="en-US" w:eastAsia="en-US"/>
        </w:rPr>
        <w:t xml:space="preserve"> to wear </w:t>
      </w:r>
      <w:r w:rsidRPr="004033B1">
        <w:rPr>
          <w:rFonts w:eastAsiaTheme="minorHAnsi"/>
          <w:lang w:val="en-US" w:eastAsia="en-US"/>
        </w:rPr>
        <w:t>Muslim garb</w:t>
      </w:r>
      <w:r w:rsidR="00FE36D4">
        <w:rPr>
          <w:rFonts w:eastAsiaTheme="minorHAnsi"/>
          <w:lang w:val="en-US" w:eastAsia="en-US"/>
        </w:rPr>
        <w:t>,</w:t>
      </w:r>
      <w:r w:rsidR="003702F1">
        <w:rPr>
          <w:rFonts w:eastAsiaTheme="minorHAnsi"/>
          <w:lang w:val="en-US" w:eastAsia="en-US"/>
        </w:rPr>
        <w:t xml:space="preserve"> wants to </w:t>
      </w:r>
      <w:r>
        <w:rPr>
          <w:rFonts w:eastAsiaTheme="minorHAnsi"/>
          <w:lang w:val="en-US" w:eastAsia="en-US"/>
        </w:rPr>
        <w:t xml:space="preserve">destroy democracy </w:t>
      </w:r>
      <w:r>
        <w:rPr>
          <w:rFonts w:eastAsiaTheme="minorHAnsi"/>
          <w:lang w:val="en-US" w:eastAsia="en-US"/>
        </w:rPr>
        <w:lastRenderedPageBreak/>
        <w:t xml:space="preserve">cannot be justified on militant democracy grounds </w:t>
      </w:r>
      <w:r w:rsidR="00FD5420" w:rsidRPr="004033B1">
        <w:rPr>
          <w:rFonts w:eastAsiaTheme="minorHAnsi"/>
          <w:lang w:val="en-US" w:eastAsia="en-US"/>
        </w:rPr>
        <w:t>without distortion of the very idea of militant democracy</w:t>
      </w:r>
      <w:r w:rsidR="005A4625">
        <w:rPr>
          <w:rFonts w:eastAsiaTheme="minorHAnsi"/>
          <w:lang w:val="en-US" w:eastAsia="en-US"/>
        </w:rPr>
        <w:t xml:space="preserve">, as Patrick </w:t>
      </w:r>
      <w:proofErr w:type="spellStart"/>
      <w:r w:rsidR="005A4625">
        <w:rPr>
          <w:rFonts w:eastAsiaTheme="minorHAnsi"/>
          <w:lang w:val="en-US" w:eastAsia="en-US"/>
        </w:rPr>
        <w:t>Macklem</w:t>
      </w:r>
      <w:proofErr w:type="spellEnd"/>
      <w:r w:rsidR="005A4625">
        <w:rPr>
          <w:rFonts w:eastAsiaTheme="minorHAnsi"/>
          <w:lang w:val="en-US" w:eastAsia="en-US"/>
        </w:rPr>
        <w:t xml:space="preserve"> has effectively claimed.</w:t>
      </w:r>
      <w:r w:rsidR="005A4625">
        <w:rPr>
          <w:rStyle w:val="FootnoteReference"/>
          <w:rFonts w:eastAsiaTheme="minorHAnsi"/>
          <w:lang w:val="en-US" w:eastAsia="en-US"/>
        </w:rPr>
        <w:footnoteReference w:id="63"/>
      </w:r>
    </w:p>
    <w:p w14:paraId="1611B61E" w14:textId="5CAA0D86" w:rsidR="007C3AEA" w:rsidRDefault="00966092" w:rsidP="007C3AEA">
      <w:pPr>
        <w:autoSpaceDE w:val="0"/>
        <w:autoSpaceDN w:val="0"/>
        <w:adjustRightInd w:val="0"/>
        <w:spacing w:line="360" w:lineRule="auto"/>
        <w:ind w:firstLine="720"/>
        <w:jc w:val="both"/>
        <w:rPr>
          <w:color w:val="0E101A"/>
          <w:lang w:val="en-US"/>
        </w:rPr>
      </w:pPr>
      <w:r w:rsidRPr="007B2F30">
        <w:rPr>
          <w:rFonts w:eastAsiaTheme="minorHAnsi"/>
          <w:lang w:val="en-US" w:eastAsia="en-US"/>
        </w:rPr>
        <w:t xml:space="preserve">First, </w:t>
      </w:r>
      <w:r w:rsidR="007B2F30" w:rsidRPr="007B2F30">
        <w:rPr>
          <w:rFonts w:eastAsiaTheme="minorHAnsi"/>
          <w:lang w:val="en-US" w:eastAsia="en-US"/>
        </w:rPr>
        <w:t>militant democracy does not reflect the idea of identitarian democracy</w:t>
      </w:r>
      <w:r w:rsidR="003702F1">
        <w:rPr>
          <w:rFonts w:eastAsiaTheme="minorHAnsi"/>
          <w:lang w:val="en-US" w:eastAsia="en-US"/>
        </w:rPr>
        <w:t xml:space="preserve"> neither in its historical nor in contemporary form. </w:t>
      </w:r>
      <w:r w:rsidR="00FE36D4">
        <w:rPr>
          <w:rFonts w:eastAsiaTheme="minorHAnsi"/>
          <w:lang w:val="en-US" w:eastAsia="en-US"/>
        </w:rPr>
        <w:t>The</w:t>
      </w:r>
      <w:r w:rsidR="0078031C">
        <w:rPr>
          <w:rFonts w:eastAsiaTheme="minorHAnsi"/>
          <w:lang w:val="en-US" w:eastAsia="en-US"/>
        </w:rPr>
        <w:t xml:space="preserve"> idea of defending democracy is a project of a liberal democracy and not of Schmitt’s decisionism. </w:t>
      </w:r>
      <w:r w:rsidR="00CD4A8A">
        <w:rPr>
          <w:rFonts w:eastAsiaTheme="minorHAnsi"/>
          <w:lang w:val="en-US" w:eastAsia="en-US"/>
        </w:rPr>
        <w:t>Although militant democracy is paradoxical concept</w:t>
      </w:r>
      <w:r w:rsidR="007C3AEA">
        <w:rPr>
          <w:rFonts w:eastAsiaTheme="minorHAnsi"/>
          <w:lang w:val="en-US" w:eastAsia="en-US"/>
        </w:rPr>
        <w:t xml:space="preserve"> in several aspects,</w:t>
      </w:r>
      <w:r w:rsidR="00CD4A8A">
        <w:rPr>
          <w:rFonts w:eastAsiaTheme="minorHAnsi"/>
          <w:lang w:val="en-US" w:eastAsia="en-US"/>
        </w:rPr>
        <w:t xml:space="preserve"> one</w:t>
      </w:r>
      <w:r w:rsidR="00FE36D4">
        <w:rPr>
          <w:rFonts w:eastAsiaTheme="minorHAnsi"/>
          <w:lang w:val="en-US" w:eastAsia="en-US"/>
        </w:rPr>
        <w:t xml:space="preserve"> thing</w:t>
      </w:r>
      <w:r w:rsidR="00CD4A8A">
        <w:rPr>
          <w:rFonts w:eastAsiaTheme="minorHAnsi"/>
          <w:lang w:val="en-US" w:eastAsia="en-US"/>
        </w:rPr>
        <w:t xml:space="preserve"> is sure: </w:t>
      </w:r>
      <w:r w:rsidR="003702F1">
        <w:rPr>
          <w:rFonts w:eastAsiaTheme="minorHAnsi"/>
          <w:lang w:val="en-US" w:eastAsia="en-US"/>
        </w:rPr>
        <w:t>the very idea of militant democracy was born from the need to protect minorities</w:t>
      </w:r>
      <w:r w:rsidR="00CD4A8A">
        <w:rPr>
          <w:rFonts w:eastAsiaTheme="minorHAnsi"/>
          <w:lang w:val="en-US" w:eastAsia="en-US"/>
        </w:rPr>
        <w:t xml:space="preserve"> and not to exclude them from the society</w:t>
      </w:r>
      <w:r w:rsidR="006833FA">
        <w:rPr>
          <w:rFonts w:eastAsiaTheme="minorHAnsi"/>
          <w:lang w:val="en-US" w:eastAsia="en-US"/>
        </w:rPr>
        <w:t xml:space="preserve">. At the time when Lowenstein </w:t>
      </w:r>
      <w:r w:rsidR="00202024">
        <w:rPr>
          <w:rFonts w:eastAsiaTheme="minorHAnsi"/>
          <w:lang w:val="en-US" w:eastAsia="en-US"/>
        </w:rPr>
        <w:t xml:space="preserve">conceptualized militant democracy, </w:t>
      </w:r>
      <w:r w:rsidR="006833FA">
        <w:rPr>
          <w:rFonts w:eastAsiaTheme="minorHAnsi"/>
          <w:lang w:val="en-US" w:eastAsia="en-US"/>
        </w:rPr>
        <w:t>Schmitt had already argued that political communities were based on the friend-enemy polarity.</w:t>
      </w:r>
      <w:r w:rsidR="00C27D51">
        <w:rPr>
          <w:rStyle w:val="FootnoteReference"/>
          <w:rFonts w:eastAsiaTheme="minorHAnsi"/>
          <w:lang w:val="en-US" w:eastAsia="en-US"/>
        </w:rPr>
        <w:footnoteReference w:id="64"/>
      </w:r>
      <w:r w:rsidR="006833FA">
        <w:rPr>
          <w:rFonts w:eastAsiaTheme="minorHAnsi"/>
          <w:lang w:val="en-US" w:eastAsia="en-US"/>
        </w:rPr>
        <w:t xml:space="preserve"> </w:t>
      </w:r>
      <w:r w:rsidR="00A8060A">
        <w:rPr>
          <w:rFonts w:eastAsiaTheme="minorHAnsi"/>
          <w:lang w:val="en-US" w:eastAsia="en-US"/>
        </w:rPr>
        <w:t xml:space="preserve">While Schmitt worshiped the homogeneity </w:t>
      </w:r>
      <w:r w:rsidR="0078031C">
        <w:rPr>
          <w:rFonts w:eastAsiaTheme="minorHAnsi"/>
          <w:lang w:val="en-US" w:eastAsia="en-US"/>
        </w:rPr>
        <w:t>and labeled enemy anyone who did not belong to the majority forming homogeneity, for Loewenstein enemy was anybody who wanted to destroy democracy</w:t>
      </w:r>
      <w:r w:rsidR="0017541F">
        <w:rPr>
          <w:rFonts w:eastAsiaTheme="minorHAnsi"/>
          <w:lang w:val="en-US" w:eastAsia="en-US"/>
        </w:rPr>
        <w:t xml:space="preserve"> and pluralism accommodated in the democratic order</w:t>
      </w:r>
      <w:r w:rsidR="0078031C">
        <w:rPr>
          <w:rFonts w:eastAsiaTheme="minorHAnsi"/>
          <w:lang w:val="en-US" w:eastAsia="en-US"/>
        </w:rPr>
        <w:t xml:space="preserve">.  </w:t>
      </w:r>
      <w:r w:rsidR="007C3AEA">
        <w:rPr>
          <w:rFonts w:eastAsiaTheme="minorHAnsi"/>
          <w:lang w:val="en-US" w:eastAsia="en-US"/>
        </w:rPr>
        <w:t>Neither today m</w:t>
      </w:r>
      <w:r w:rsidR="00202024">
        <w:rPr>
          <w:rFonts w:eastAsiaTheme="minorHAnsi"/>
          <w:lang w:val="en-US" w:eastAsia="en-US"/>
        </w:rPr>
        <w:t>ilitant democracy adopt</w:t>
      </w:r>
      <w:r w:rsidR="007C3AEA">
        <w:rPr>
          <w:rFonts w:eastAsiaTheme="minorHAnsi"/>
          <w:lang w:val="en-US" w:eastAsia="en-US"/>
        </w:rPr>
        <w:t>s</w:t>
      </w:r>
      <w:r w:rsidR="00202024">
        <w:rPr>
          <w:rFonts w:eastAsiaTheme="minorHAnsi"/>
          <w:lang w:val="en-US" w:eastAsia="en-US"/>
        </w:rPr>
        <w:t xml:space="preserve"> </w:t>
      </w:r>
      <w:r w:rsidR="006B7F07">
        <w:rPr>
          <w:rFonts w:eastAsiaTheme="minorHAnsi"/>
          <w:lang w:val="en-US" w:eastAsia="en-US"/>
        </w:rPr>
        <w:t xml:space="preserve">ethnically driven </w:t>
      </w:r>
      <w:r w:rsidR="00202024">
        <w:rPr>
          <w:rFonts w:eastAsiaTheme="minorHAnsi"/>
          <w:lang w:val="en-US" w:eastAsia="en-US"/>
        </w:rPr>
        <w:t>plebiscitarian methods</w:t>
      </w:r>
      <w:r w:rsidR="007C3AEA">
        <w:rPr>
          <w:rFonts w:eastAsiaTheme="minorHAnsi"/>
          <w:lang w:val="en-US" w:eastAsia="en-US"/>
        </w:rPr>
        <w:t xml:space="preserve">. </w:t>
      </w:r>
      <w:r w:rsidR="007C3AEA" w:rsidRPr="0032592B">
        <w:rPr>
          <w:color w:val="0E101A"/>
          <w:lang w:val="en-US"/>
        </w:rPr>
        <w:t xml:space="preserve">Rawls, for example, </w:t>
      </w:r>
      <w:r w:rsidR="007C3AEA">
        <w:rPr>
          <w:color w:val="0E101A"/>
          <w:lang w:val="en-US"/>
        </w:rPr>
        <w:t>argues</w:t>
      </w:r>
      <w:r w:rsidR="007C3AEA" w:rsidRPr="0032592B">
        <w:rPr>
          <w:color w:val="0E101A"/>
          <w:lang w:val="en-US"/>
        </w:rPr>
        <w:t xml:space="preserve"> that “[…] just citizens should strive to preserve the constitution with all its equal liberties as long as liberty itself in their own freedom is not in danger”; otherwise, “they can properly force the intolerant to respect the liberty of others[…]”</w:t>
      </w:r>
      <w:r w:rsidR="007C3AEA" w:rsidRPr="0032592B">
        <w:rPr>
          <w:rStyle w:val="FootnoteReference"/>
          <w:color w:val="0E101A"/>
          <w:lang w:val="en-US"/>
        </w:rPr>
        <w:footnoteReference w:id="65"/>
      </w:r>
      <w:r w:rsidR="007C3AEA">
        <w:rPr>
          <w:color w:val="0E101A"/>
          <w:lang w:val="en-US"/>
        </w:rPr>
        <w:t xml:space="preserve"> </w:t>
      </w:r>
    </w:p>
    <w:p w14:paraId="39876D3C" w14:textId="3417AC3F" w:rsidR="00CF2A54" w:rsidRDefault="007C3AEA" w:rsidP="003061BC">
      <w:pPr>
        <w:autoSpaceDE w:val="0"/>
        <w:autoSpaceDN w:val="0"/>
        <w:adjustRightInd w:val="0"/>
        <w:spacing w:line="360" w:lineRule="auto"/>
        <w:ind w:firstLine="720"/>
        <w:jc w:val="both"/>
        <w:rPr>
          <w:rFonts w:eastAsiaTheme="minorHAnsi"/>
          <w:lang w:eastAsia="en-US"/>
        </w:rPr>
      </w:pPr>
      <w:r>
        <w:rPr>
          <w:color w:val="0E101A"/>
          <w:lang w:val="en-US"/>
        </w:rPr>
        <w:t xml:space="preserve">Second, </w:t>
      </w:r>
      <w:r w:rsidR="005D43D2">
        <w:rPr>
          <w:color w:val="0E101A"/>
          <w:lang w:val="en-US"/>
        </w:rPr>
        <w:t>there is no inherent anomaly in the concept of militant democracy that</w:t>
      </w:r>
      <w:r w:rsidR="003061BC">
        <w:rPr>
          <w:color w:val="0E101A"/>
          <w:lang w:val="en-US"/>
        </w:rPr>
        <w:t xml:space="preserve"> requests</w:t>
      </w:r>
      <w:r w:rsidR="005D43D2">
        <w:rPr>
          <w:color w:val="0E101A"/>
          <w:lang w:val="en-US"/>
        </w:rPr>
        <w:t xml:space="preserve"> the boundaries</w:t>
      </w:r>
      <w:r w:rsidR="00093F72">
        <w:rPr>
          <w:color w:val="0E101A"/>
          <w:lang w:val="en-US"/>
        </w:rPr>
        <w:t xml:space="preserve"> to be set</w:t>
      </w:r>
      <w:r w:rsidR="005D43D2">
        <w:rPr>
          <w:color w:val="0E101A"/>
          <w:lang w:val="en-US"/>
        </w:rPr>
        <w:t xml:space="preserve"> between majorities in today’s Europe and ‘the Muslim enemy.</w:t>
      </w:r>
      <w:r w:rsidR="003061BC">
        <w:rPr>
          <w:color w:val="0E101A"/>
          <w:lang w:val="en-US"/>
        </w:rPr>
        <w:t>’ As Mancini reminds, one of the paradoxes of militant democracy is that restrictions to political pluralism is needed in order to preserve the very pluralism.</w:t>
      </w:r>
      <w:r w:rsidR="003E1B9C">
        <w:rPr>
          <w:rStyle w:val="FootnoteReference"/>
          <w:color w:val="0E101A"/>
          <w:lang w:val="en-US"/>
        </w:rPr>
        <w:footnoteReference w:id="66"/>
      </w:r>
      <w:r w:rsidR="003061BC">
        <w:rPr>
          <w:color w:val="0E101A"/>
          <w:lang w:val="en-US"/>
        </w:rPr>
        <w:t xml:space="preserve"> </w:t>
      </w:r>
      <w:r w:rsidR="005D43D2">
        <w:rPr>
          <w:color w:val="0E101A"/>
          <w:lang w:val="en-US"/>
        </w:rPr>
        <w:t>P</w:t>
      </w:r>
      <w:r>
        <w:rPr>
          <w:color w:val="0E101A"/>
          <w:lang w:val="en-US"/>
        </w:rPr>
        <w:t xml:space="preserve">luralism lies in the heart of democracy. </w:t>
      </w:r>
      <w:r w:rsidR="003702F1">
        <w:rPr>
          <w:rFonts w:eastAsiaTheme="minorHAnsi"/>
          <w:lang w:val="en-US" w:eastAsia="en-US"/>
        </w:rPr>
        <w:t xml:space="preserve">Even </w:t>
      </w:r>
      <w:r w:rsidR="003702F1">
        <w:rPr>
          <w:rFonts w:eastAsiaTheme="minorHAnsi"/>
          <w:lang w:eastAsia="en-US"/>
        </w:rPr>
        <w:t>t</w:t>
      </w:r>
      <w:r w:rsidR="003702F1" w:rsidRPr="007B2F30">
        <w:rPr>
          <w:rFonts w:eastAsiaTheme="minorHAnsi"/>
          <w:lang w:eastAsia="en-US"/>
        </w:rPr>
        <w:t xml:space="preserve">he ECtHR </w:t>
      </w:r>
      <w:r w:rsidR="003702F1">
        <w:rPr>
          <w:rFonts w:eastAsiaTheme="minorHAnsi"/>
          <w:lang w:eastAsia="en-US"/>
        </w:rPr>
        <w:t xml:space="preserve">itself repeatedly said that </w:t>
      </w:r>
      <w:r w:rsidR="007B2F30" w:rsidRPr="007B2F30">
        <w:rPr>
          <w:rFonts w:eastAsiaTheme="minorHAnsi"/>
          <w:lang w:eastAsia="en-US"/>
        </w:rPr>
        <w:t>“there can be no democracy without pluralism”</w:t>
      </w:r>
      <w:r w:rsidR="003702F1">
        <w:rPr>
          <w:rFonts w:eastAsiaTheme="minorHAnsi"/>
          <w:lang w:eastAsia="en-US"/>
        </w:rPr>
        <w:t>.</w:t>
      </w:r>
      <w:r w:rsidR="00D75FBA">
        <w:rPr>
          <w:rStyle w:val="FootnoteReference"/>
          <w:rFonts w:eastAsiaTheme="minorHAnsi"/>
          <w:lang w:eastAsia="en-US"/>
        </w:rPr>
        <w:footnoteReference w:id="67"/>
      </w:r>
      <w:r w:rsidR="003702F1">
        <w:rPr>
          <w:rFonts w:eastAsiaTheme="minorHAnsi"/>
          <w:lang w:eastAsia="en-US"/>
        </w:rPr>
        <w:t xml:space="preserve"> According to the </w:t>
      </w:r>
      <w:r w:rsidR="00BC7398">
        <w:rPr>
          <w:rFonts w:eastAsiaTheme="minorHAnsi"/>
          <w:lang w:eastAsia="en-US"/>
        </w:rPr>
        <w:t>C</w:t>
      </w:r>
      <w:r w:rsidR="003702F1">
        <w:rPr>
          <w:rFonts w:eastAsiaTheme="minorHAnsi"/>
          <w:lang w:eastAsia="en-US"/>
        </w:rPr>
        <w:t>ourt</w:t>
      </w:r>
      <w:r w:rsidR="00C75536">
        <w:rPr>
          <w:rFonts w:eastAsiaTheme="minorHAnsi"/>
          <w:lang w:eastAsia="en-US"/>
        </w:rPr>
        <w:t>,</w:t>
      </w:r>
      <w:r w:rsidR="003702F1">
        <w:rPr>
          <w:rFonts w:eastAsiaTheme="minorHAnsi"/>
          <w:lang w:eastAsia="en-US"/>
        </w:rPr>
        <w:t xml:space="preserve"> </w:t>
      </w:r>
      <w:r w:rsidR="007B2F30" w:rsidRPr="007B2F30">
        <w:rPr>
          <w:rFonts w:eastAsiaTheme="minorHAnsi"/>
          <w:lang w:eastAsia="en-US"/>
        </w:rPr>
        <w:t xml:space="preserve">pluralism </w:t>
      </w:r>
      <w:r w:rsidR="003702F1">
        <w:rPr>
          <w:rFonts w:eastAsiaTheme="minorHAnsi"/>
          <w:lang w:eastAsia="en-US"/>
        </w:rPr>
        <w:t>is</w:t>
      </w:r>
      <w:r w:rsidR="007B2F30" w:rsidRPr="007B2F30">
        <w:rPr>
          <w:rFonts w:eastAsiaTheme="minorHAnsi"/>
          <w:lang w:eastAsia="en-US"/>
        </w:rPr>
        <w:t xml:space="preserve"> “built on the genuine recognition of, and respect for, diversity and the dynamics of cultural traditions, ethnic and cultural identities, religious belief, artistic, literary and socio-economic ideas and concepts”.</w:t>
      </w:r>
      <w:r w:rsidR="007F012A">
        <w:rPr>
          <w:rStyle w:val="FootnoteReference"/>
          <w:rFonts w:eastAsiaTheme="minorHAnsi"/>
          <w:lang w:eastAsia="en-US"/>
        </w:rPr>
        <w:footnoteReference w:id="68"/>
      </w:r>
      <w:r w:rsidR="003702F1">
        <w:rPr>
          <w:rFonts w:eastAsiaTheme="minorHAnsi"/>
          <w:lang w:eastAsia="en-US"/>
        </w:rPr>
        <w:t xml:space="preserve"> </w:t>
      </w:r>
      <w:r w:rsidR="0069498D">
        <w:rPr>
          <w:rFonts w:eastAsiaTheme="minorHAnsi"/>
          <w:lang w:eastAsia="en-US"/>
        </w:rPr>
        <w:t xml:space="preserve"> </w:t>
      </w:r>
    </w:p>
    <w:p w14:paraId="478EA0C8" w14:textId="2D17FCFF" w:rsidR="003061BC" w:rsidRDefault="007C3AEA" w:rsidP="00511569">
      <w:pPr>
        <w:autoSpaceDE w:val="0"/>
        <w:autoSpaceDN w:val="0"/>
        <w:adjustRightInd w:val="0"/>
        <w:spacing w:line="360" w:lineRule="auto"/>
        <w:ind w:firstLine="720"/>
        <w:jc w:val="both"/>
        <w:rPr>
          <w:rFonts w:eastAsiaTheme="minorHAnsi"/>
          <w:lang w:val="en-US" w:eastAsia="en-US"/>
        </w:rPr>
      </w:pPr>
      <w:r>
        <w:rPr>
          <w:rFonts w:eastAsiaTheme="minorHAnsi"/>
          <w:lang w:eastAsia="en-US"/>
        </w:rPr>
        <w:t xml:space="preserve">But it turned out that </w:t>
      </w:r>
      <w:r w:rsidR="005C2171">
        <w:rPr>
          <w:rFonts w:eastAsiaTheme="minorHAnsi"/>
          <w:lang w:eastAsia="en-US"/>
        </w:rPr>
        <w:t xml:space="preserve">the guardian void its vision. The </w:t>
      </w:r>
      <w:r w:rsidR="0017541F" w:rsidRPr="007B2F30">
        <w:rPr>
          <w:rFonts w:eastAsiaTheme="minorHAnsi"/>
          <w:lang w:eastAsia="en-US"/>
        </w:rPr>
        <w:t>ECtHR</w:t>
      </w:r>
      <w:r w:rsidR="0017541F">
        <w:rPr>
          <w:rFonts w:eastAsiaTheme="minorHAnsi"/>
          <w:lang w:eastAsia="en-US"/>
        </w:rPr>
        <w:t xml:space="preserve">’s </w:t>
      </w:r>
      <w:r w:rsidR="009E4534" w:rsidRPr="004033B1">
        <w:rPr>
          <w:rFonts w:eastAsiaTheme="minorHAnsi"/>
          <w:lang w:val="en-US" w:eastAsia="en-US"/>
        </w:rPr>
        <w:t xml:space="preserve">Islamic veil </w:t>
      </w:r>
      <w:r w:rsidR="00F31B6B" w:rsidRPr="004033B1">
        <w:rPr>
          <w:rFonts w:eastAsiaTheme="minorHAnsi"/>
          <w:lang w:val="en-US" w:eastAsia="en-US"/>
        </w:rPr>
        <w:t>jurisprudence</w:t>
      </w:r>
      <w:r w:rsidR="009E4534" w:rsidRPr="004033B1">
        <w:rPr>
          <w:rFonts w:eastAsiaTheme="minorHAnsi"/>
          <w:lang w:val="en-US" w:eastAsia="en-US"/>
        </w:rPr>
        <w:t xml:space="preserve"> fit</w:t>
      </w:r>
      <w:r w:rsidR="00966092">
        <w:rPr>
          <w:rFonts w:eastAsiaTheme="minorHAnsi"/>
          <w:lang w:val="en-US" w:eastAsia="en-US"/>
        </w:rPr>
        <w:t>s</w:t>
      </w:r>
      <w:r w:rsidR="009E4534" w:rsidRPr="004033B1">
        <w:rPr>
          <w:rFonts w:eastAsiaTheme="minorHAnsi"/>
          <w:lang w:val="en-US" w:eastAsia="en-US"/>
        </w:rPr>
        <w:t xml:space="preserve"> well </w:t>
      </w:r>
      <w:r w:rsidR="00EC2F2F" w:rsidRPr="004033B1">
        <w:rPr>
          <w:rFonts w:eastAsiaTheme="minorHAnsi"/>
          <w:lang w:val="en-US" w:eastAsia="en-US"/>
        </w:rPr>
        <w:t xml:space="preserve">with its position that Islam is </w:t>
      </w:r>
      <w:r w:rsidR="00EC2F2F" w:rsidRPr="004033B1">
        <w:rPr>
          <w:rStyle w:val="sb8d990e2"/>
          <w:color w:val="000000"/>
          <w:shd w:val="clear" w:color="auto" w:fill="FFFFFF"/>
          <w:lang w:val="en-US"/>
        </w:rPr>
        <w:t xml:space="preserve">incompatible with democracy. </w:t>
      </w:r>
      <w:r w:rsidR="0026074F" w:rsidRPr="004033B1">
        <w:rPr>
          <w:rFonts w:eastAsiaTheme="minorHAnsi"/>
          <w:lang w:val="en-US" w:eastAsia="en-US"/>
        </w:rPr>
        <w:t xml:space="preserve">In its highly criticized </w:t>
      </w:r>
      <w:proofErr w:type="spellStart"/>
      <w:r w:rsidR="0026074F" w:rsidRPr="000030DA">
        <w:rPr>
          <w:rFonts w:eastAsiaTheme="minorHAnsi"/>
          <w:i/>
          <w:iCs/>
          <w:lang w:val="en-US" w:eastAsia="en-US"/>
        </w:rPr>
        <w:t>Refah</w:t>
      </w:r>
      <w:proofErr w:type="spellEnd"/>
      <w:r w:rsidR="0026074F" w:rsidRPr="004033B1">
        <w:rPr>
          <w:rFonts w:eastAsiaTheme="minorHAnsi"/>
          <w:lang w:val="en-US" w:eastAsia="en-US"/>
        </w:rPr>
        <w:t xml:space="preserve"> decision, the Court upheld the decision of Turkish Constitutional Court to ban </w:t>
      </w:r>
      <w:r w:rsidR="0026074F" w:rsidRPr="004033B1">
        <w:rPr>
          <w:rFonts w:eastAsiaTheme="minorHAnsi"/>
          <w:lang w:val="en-US" w:eastAsia="en-US"/>
        </w:rPr>
        <w:lastRenderedPageBreak/>
        <w:t xml:space="preserve">the </w:t>
      </w:r>
      <w:proofErr w:type="spellStart"/>
      <w:r w:rsidR="0026074F" w:rsidRPr="004033B1">
        <w:rPr>
          <w:rFonts w:eastAsiaTheme="minorHAnsi"/>
          <w:lang w:val="en-US" w:eastAsia="en-US"/>
        </w:rPr>
        <w:t>Refah</w:t>
      </w:r>
      <w:proofErr w:type="spellEnd"/>
      <w:r w:rsidR="0026074F" w:rsidRPr="004033B1">
        <w:rPr>
          <w:rFonts w:eastAsiaTheme="minorHAnsi"/>
          <w:lang w:val="en-US" w:eastAsia="en-US"/>
        </w:rPr>
        <w:t xml:space="preserve"> Party </w:t>
      </w:r>
      <w:r w:rsidR="00966092">
        <w:rPr>
          <w:rFonts w:eastAsiaTheme="minorHAnsi"/>
          <w:lang w:val="en-US" w:eastAsia="en-US"/>
        </w:rPr>
        <w:t>(forming then</w:t>
      </w:r>
      <w:r w:rsidR="0078031C">
        <w:rPr>
          <w:rFonts w:eastAsiaTheme="minorHAnsi"/>
          <w:lang w:val="en-US" w:eastAsia="en-US"/>
        </w:rPr>
        <w:t>-</w:t>
      </w:r>
      <w:r w:rsidR="00966092">
        <w:rPr>
          <w:rFonts w:eastAsiaTheme="minorHAnsi"/>
          <w:lang w:val="en-US" w:eastAsia="en-US"/>
        </w:rPr>
        <w:t xml:space="preserve">ruling coalition) </w:t>
      </w:r>
      <w:r w:rsidR="0026074F" w:rsidRPr="004033B1">
        <w:rPr>
          <w:rFonts w:eastAsiaTheme="minorHAnsi"/>
          <w:lang w:val="en-US" w:eastAsia="en-US"/>
        </w:rPr>
        <w:t>on the grounds that its advocacy for a plurality of legal regimes in Turkish society that would include one based on Sharia</w:t>
      </w:r>
      <w:r w:rsidR="00E12995">
        <w:rPr>
          <w:rFonts w:eastAsiaTheme="minorHAnsi"/>
          <w:lang w:val="en-US" w:eastAsia="en-US"/>
        </w:rPr>
        <w:t xml:space="preserve">, stood contrary to </w:t>
      </w:r>
      <w:r w:rsidR="0026074F" w:rsidRPr="004033B1">
        <w:rPr>
          <w:rFonts w:eastAsiaTheme="minorHAnsi"/>
          <w:lang w:val="en-US" w:eastAsia="en-US"/>
        </w:rPr>
        <w:t>the fundamental principles of democracy</w:t>
      </w:r>
      <w:r w:rsidR="00E12995">
        <w:rPr>
          <w:rFonts w:eastAsiaTheme="minorHAnsi"/>
          <w:lang w:val="en-US" w:eastAsia="en-US"/>
        </w:rPr>
        <w:t>.</w:t>
      </w:r>
      <w:r w:rsidR="00976DCE">
        <w:rPr>
          <w:rStyle w:val="FootnoteReference"/>
          <w:rFonts w:eastAsiaTheme="minorHAnsi"/>
          <w:lang w:val="en-US" w:eastAsia="en-US"/>
        </w:rPr>
        <w:footnoteReference w:id="69"/>
      </w:r>
      <w:r w:rsidR="00E12995">
        <w:rPr>
          <w:rFonts w:eastAsiaTheme="minorHAnsi"/>
          <w:lang w:val="en-US" w:eastAsia="en-US"/>
        </w:rPr>
        <w:t xml:space="preserve"> </w:t>
      </w:r>
      <w:r w:rsidR="00BC7398" w:rsidRPr="00BC7398">
        <w:rPr>
          <w:rFonts w:eastAsiaTheme="minorHAnsi"/>
          <w:lang w:val="en-US" w:eastAsia="en-US"/>
        </w:rPr>
        <w:t>The Court’s approach is problematic for many reasons. For example, one can easily find anti-democratic policies embodied in other religions, but the Court has not considered th</w:t>
      </w:r>
      <w:r w:rsidR="00FE36D4">
        <w:rPr>
          <w:rFonts w:eastAsiaTheme="minorHAnsi"/>
          <w:lang w:val="en-US" w:eastAsia="en-US"/>
        </w:rPr>
        <w:t>at</w:t>
      </w:r>
      <w:r w:rsidR="00BC7398" w:rsidRPr="00BC7398">
        <w:rPr>
          <w:rFonts w:eastAsiaTheme="minorHAnsi"/>
          <w:lang w:val="en-US" w:eastAsia="en-US"/>
        </w:rPr>
        <w:t>.</w:t>
      </w:r>
      <w:r w:rsidR="00BC7398">
        <w:rPr>
          <w:rFonts w:eastAsiaTheme="minorHAnsi"/>
          <w:lang w:val="en-US" w:eastAsia="en-US"/>
        </w:rPr>
        <w:t xml:space="preserve"> Thus</w:t>
      </w:r>
      <w:r w:rsidR="0078031C">
        <w:rPr>
          <w:rFonts w:eastAsiaTheme="minorHAnsi"/>
          <w:lang w:val="en-US" w:eastAsia="en-US"/>
        </w:rPr>
        <w:t xml:space="preserve">, </w:t>
      </w:r>
      <w:r w:rsidR="00E12995">
        <w:rPr>
          <w:rFonts w:eastAsiaTheme="minorHAnsi"/>
          <w:lang w:val="en-US" w:eastAsia="en-US"/>
        </w:rPr>
        <w:t xml:space="preserve">the Court neither considers </w:t>
      </w:r>
      <w:r w:rsidR="00E12995" w:rsidRPr="004033B1">
        <w:rPr>
          <w:rFonts w:eastAsiaTheme="minorHAnsi"/>
          <w:lang w:val="en-US" w:eastAsia="en-US"/>
        </w:rPr>
        <w:t xml:space="preserve">mandatory </w:t>
      </w:r>
      <w:r w:rsidR="00E12995">
        <w:rPr>
          <w:rFonts w:eastAsiaTheme="minorHAnsi"/>
          <w:lang w:val="en-US" w:eastAsia="en-US"/>
        </w:rPr>
        <w:t xml:space="preserve">disposal of </w:t>
      </w:r>
      <w:r w:rsidR="00E12995" w:rsidRPr="004033B1">
        <w:rPr>
          <w:rFonts w:eastAsiaTheme="minorHAnsi"/>
          <w:lang w:val="en-US" w:eastAsia="en-US"/>
        </w:rPr>
        <w:t>the Christian symbols as a threat to democracy,</w:t>
      </w:r>
      <w:r w:rsidR="000C0EC0">
        <w:rPr>
          <w:rStyle w:val="FootnoteReference"/>
          <w:rFonts w:eastAsiaTheme="minorHAnsi"/>
          <w:lang w:val="en-US" w:eastAsia="en-US"/>
        </w:rPr>
        <w:footnoteReference w:id="70"/>
      </w:r>
      <w:r w:rsidR="00E12995">
        <w:rPr>
          <w:rFonts w:eastAsiaTheme="minorHAnsi"/>
          <w:lang w:val="en-US" w:eastAsia="en-US"/>
        </w:rPr>
        <w:t xml:space="preserve"> nor </w:t>
      </w:r>
      <w:r w:rsidR="0078031C">
        <w:rPr>
          <w:rFonts w:eastAsiaTheme="minorHAnsi"/>
          <w:lang w:val="en-US" w:eastAsia="en-US"/>
        </w:rPr>
        <w:t>it has been</w:t>
      </w:r>
      <w:r w:rsidR="00E12995">
        <w:rPr>
          <w:rFonts w:eastAsiaTheme="minorHAnsi"/>
          <w:lang w:val="en-US" w:eastAsia="en-US"/>
        </w:rPr>
        <w:t xml:space="preserve"> ready to </w:t>
      </w:r>
      <w:r w:rsidR="0078031C">
        <w:rPr>
          <w:rFonts w:eastAsiaTheme="minorHAnsi"/>
          <w:lang w:val="en-US" w:eastAsia="en-US"/>
        </w:rPr>
        <w:t>problematize</w:t>
      </w:r>
      <w:r w:rsidR="00E12995">
        <w:rPr>
          <w:rFonts w:eastAsiaTheme="minorHAnsi"/>
          <w:lang w:val="en-US" w:eastAsia="en-US"/>
        </w:rPr>
        <w:t xml:space="preserve"> </w:t>
      </w:r>
      <w:r w:rsidR="00BC7398">
        <w:rPr>
          <w:rFonts w:eastAsiaTheme="minorHAnsi"/>
          <w:lang w:val="en-US" w:eastAsia="en-US"/>
        </w:rPr>
        <w:t xml:space="preserve">a state’s </w:t>
      </w:r>
      <w:r w:rsidR="00E12995">
        <w:rPr>
          <w:rFonts w:eastAsiaTheme="minorHAnsi"/>
          <w:lang w:val="en-US" w:eastAsia="en-US"/>
        </w:rPr>
        <w:t>policy</w:t>
      </w:r>
      <w:r w:rsidR="00E12995" w:rsidRPr="004033B1">
        <w:rPr>
          <w:rFonts w:eastAsiaTheme="minorHAnsi"/>
          <w:lang w:val="en-US" w:eastAsia="en-US"/>
        </w:rPr>
        <w:t xml:space="preserve"> concerning the beginning and the end of life</w:t>
      </w:r>
      <w:r w:rsidR="00BC3BD9">
        <w:rPr>
          <w:rFonts w:eastAsiaTheme="minorHAnsi"/>
          <w:lang w:val="en-US" w:eastAsia="en-US"/>
        </w:rPr>
        <w:t>,</w:t>
      </w:r>
      <w:r w:rsidR="00BC7398">
        <w:rPr>
          <w:rFonts w:eastAsiaTheme="minorHAnsi"/>
          <w:lang w:val="en-US" w:eastAsia="en-US"/>
        </w:rPr>
        <w:t xml:space="preserve"> </w:t>
      </w:r>
      <w:r w:rsidR="00BC3BD9">
        <w:rPr>
          <w:rFonts w:eastAsiaTheme="minorHAnsi"/>
          <w:lang w:val="en-US" w:eastAsia="en-US"/>
        </w:rPr>
        <w:t xml:space="preserve">adopted </w:t>
      </w:r>
      <w:r w:rsidR="00BC7398">
        <w:rPr>
          <w:rFonts w:eastAsiaTheme="minorHAnsi"/>
          <w:lang w:val="en-US" w:eastAsia="en-US"/>
        </w:rPr>
        <w:t xml:space="preserve">in some Member States </w:t>
      </w:r>
      <w:r w:rsidR="0078031C">
        <w:rPr>
          <w:rFonts w:eastAsiaTheme="minorHAnsi"/>
          <w:lang w:val="en-US" w:eastAsia="en-US"/>
        </w:rPr>
        <w:t xml:space="preserve">under a </w:t>
      </w:r>
      <w:r w:rsidR="00452D51">
        <w:rPr>
          <w:rFonts w:eastAsiaTheme="minorHAnsi"/>
          <w:lang w:val="en-US" w:eastAsia="en-US"/>
        </w:rPr>
        <w:t>strong</w:t>
      </w:r>
      <w:r w:rsidR="00E12995" w:rsidRPr="004033B1">
        <w:rPr>
          <w:rFonts w:eastAsiaTheme="minorHAnsi"/>
          <w:lang w:val="en-US" w:eastAsia="en-US"/>
        </w:rPr>
        <w:t xml:space="preserve"> influence </w:t>
      </w:r>
      <w:r w:rsidR="00FC2921">
        <w:rPr>
          <w:rFonts w:eastAsiaTheme="minorHAnsi"/>
          <w:lang w:val="en-US" w:eastAsia="en-US"/>
        </w:rPr>
        <w:t>of the</w:t>
      </w:r>
      <w:r w:rsidR="00E12995" w:rsidRPr="004033B1">
        <w:rPr>
          <w:rFonts w:eastAsiaTheme="minorHAnsi"/>
          <w:lang w:val="en-US" w:eastAsia="en-US"/>
        </w:rPr>
        <w:t xml:space="preserve"> Catholic religion</w:t>
      </w:r>
      <w:r w:rsidR="00E12995">
        <w:rPr>
          <w:rFonts w:eastAsiaTheme="minorHAnsi"/>
          <w:lang w:val="en-US" w:eastAsia="en-US"/>
        </w:rPr>
        <w:t>.</w:t>
      </w:r>
      <w:r w:rsidR="006007D5">
        <w:rPr>
          <w:rStyle w:val="FootnoteReference"/>
          <w:rFonts w:eastAsiaTheme="minorHAnsi"/>
          <w:lang w:val="en-US" w:eastAsia="en-US"/>
        </w:rPr>
        <w:footnoteReference w:id="71"/>
      </w:r>
      <w:r w:rsidR="00E12995">
        <w:rPr>
          <w:rFonts w:eastAsiaTheme="minorHAnsi"/>
          <w:lang w:val="en-US" w:eastAsia="en-US"/>
        </w:rPr>
        <w:t xml:space="preserve"> </w:t>
      </w:r>
      <w:r w:rsidR="00E12995" w:rsidRPr="004033B1">
        <w:rPr>
          <w:rFonts w:eastAsiaTheme="minorHAnsi"/>
          <w:lang w:val="en-US" w:eastAsia="en-US"/>
        </w:rPr>
        <w:t>If one adds to this the fact that many European parties originated from affiliation to Christian religion</w:t>
      </w:r>
      <w:r w:rsidR="00E12995">
        <w:rPr>
          <w:rFonts w:eastAsiaTheme="minorHAnsi"/>
          <w:lang w:val="en-US" w:eastAsia="en-US"/>
        </w:rPr>
        <w:t xml:space="preserve"> without </w:t>
      </w:r>
      <w:r w:rsidR="009B0C99">
        <w:rPr>
          <w:rFonts w:eastAsiaTheme="minorHAnsi"/>
          <w:lang w:val="en-US" w:eastAsia="en-US"/>
        </w:rPr>
        <w:t xml:space="preserve">this being </w:t>
      </w:r>
      <w:r w:rsidR="0078031C">
        <w:rPr>
          <w:rFonts w:eastAsiaTheme="minorHAnsi"/>
          <w:lang w:val="en-US" w:eastAsia="en-US"/>
        </w:rPr>
        <w:t xml:space="preserve">questioned </w:t>
      </w:r>
      <w:r w:rsidR="009B0C99">
        <w:rPr>
          <w:rFonts w:eastAsiaTheme="minorHAnsi"/>
          <w:lang w:val="en-US" w:eastAsia="en-US"/>
        </w:rPr>
        <w:t>by the Court</w:t>
      </w:r>
      <w:r w:rsidR="00E12995" w:rsidRPr="004033B1">
        <w:rPr>
          <w:rFonts w:eastAsiaTheme="minorHAnsi"/>
          <w:lang w:val="en-US" w:eastAsia="en-US"/>
        </w:rPr>
        <w:t xml:space="preserve">, </w:t>
      </w:r>
      <w:r w:rsidR="00E12995">
        <w:rPr>
          <w:rFonts w:eastAsiaTheme="minorHAnsi"/>
          <w:lang w:val="en-US" w:eastAsia="en-US"/>
        </w:rPr>
        <w:t xml:space="preserve"> </w:t>
      </w:r>
      <w:r w:rsidR="00E12995" w:rsidRPr="004033B1">
        <w:rPr>
          <w:rFonts w:eastAsiaTheme="minorHAnsi"/>
          <w:lang w:val="en-US" w:eastAsia="en-US"/>
        </w:rPr>
        <w:t>it is hard to resist the conclusion that the Court’s vision of “democratic society” is hardly compatible with society which does not origin from “Christian principles and values”.</w:t>
      </w:r>
      <w:r w:rsidR="006007D5">
        <w:rPr>
          <w:rStyle w:val="FootnoteReference"/>
          <w:rFonts w:eastAsiaTheme="minorHAnsi"/>
          <w:lang w:val="en-US" w:eastAsia="en-US"/>
        </w:rPr>
        <w:footnoteReference w:id="72"/>
      </w:r>
      <w:r w:rsidR="00E12995" w:rsidRPr="004033B1">
        <w:rPr>
          <w:rFonts w:eastAsiaTheme="minorHAnsi"/>
          <w:lang w:val="en-US" w:eastAsia="en-US"/>
        </w:rPr>
        <w:t xml:space="preserve"> </w:t>
      </w:r>
      <w:r w:rsidR="00511569">
        <w:rPr>
          <w:rFonts w:eastAsiaTheme="minorHAnsi"/>
          <w:lang w:val="en-US" w:eastAsia="en-US"/>
        </w:rPr>
        <w:t xml:space="preserve">In sum, </w:t>
      </w:r>
      <w:r w:rsidR="00511569">
        <w:rPr>
          <w:color w:val="0E101A"/>
          <w:lang w:val="en-US"/>
        </w:rPr>
        <w:t xml:space="preserve">the boundaries between majorities in today’s Europe and ‘the Muslim enemy’ are judicial </w:t>
      </w:r>
      <w:r w:rsidR="00FC2921">
        <w:rPr>
          <w:color w:val="0E101A"/>
          <w:lang w:val="en-US"/>
        </w:rPr>
        <w:t xml:space="preserve">(and legislative) </w:t>
      </w:r>
      <w:r w:rsidR="00511569">
        <w:rPr>
          <w:color w:val="0E101A"/>
          <w:lang w:val="en-US"/>
        </w:rPr>
        <w:t>constructions that appeared recently</w:t>
      </w:r>
      <w:r w:rsidR="00C75536">
        <w:rPr>
          <w:color w:val="0E101A"/>
          <w:lang w:val="en-US"/>
        </w:rPr>
        <w:t>,</w:t>
      </w:r>
      <w:r w:rsidR="00511569">
        <w:rPr>
          <w:color w:val="0E101A"/>
          <w:lang w:val="en-US"/>
        </w:rPr>
        <w:t xml:space="preserve"> together with globalization and migration wa</w:t>
      </w:r>
      <w:r w:rsidR="00FC2921">
        <w:rPr>
          <w:color w:val="0E101A"/>
          <w:lang w:val="en-US"/>
        </w:rPr>
        <w:t>ves</w:t>
      </w:r>
      <w:r w:rsidR="00511569">
        <w:rPr>
          <w:color w:val="0E101A"/>
          <w:lang w:val="en-US"/>
        </w:rPr>
        <w:t xml:space="preserve">; they are not inherent in the concept of militant democracy. </w:t>
      </w:r>
    </w:p>
    <w:p w14:paraId="03305862" w14:textId="3093D583" w:rsidR="008A6435" w:rsidRDefault="003061BC" w:rsidP="008A6435">
      <w:pPr>
        <w:autoSpaceDE w:val="0"/>
        <w:autoSpaceDN w:val="0"/>
        <w:adjustRightInd w:val="0"/>
        <w:spacing w:line="360" w:lineRule="auto"/>
        <w:ind w:firstLine="360"/>
        <w:jc w:val="both"/>
        <w:rPr>
          <w:rStyle w:val="sb8d990e2"/>
          <w:color w:val="000000"/>
          <w:shd w:val="clear" w:color="auto" w:fill="FFFFFF"/>
          <w:lang w:val="en-US"/>
        </w:rPr>
      </w:pPr>
      <w:r>
        <w:rPr>
          <w:rFonts w:eastAsiaTheme="minorHAnsi"/>
          <w:lang w:val="en-US" w:eastAsia="en-US"/>
        </w:rPr>
        <w:t xml:space="preserve">Third, </w:t>
      </w:r>
      <w:r w:rsidR="00CF2A54">
        <w:rPr>
          <w:rFonts w:eastAsiaTheme="minorHAnsi"/>
          <w:lang w:val="en-US" w:eastAsia="en-US"/>
        </w:rPr>
        <w:t xml:space="preserve">in </w:t>
      </w:r>
      <w:r w:rsidR="003C3046" w:rsidRPr="00CD105B">
        <w:t>Sajó</w:t>
      </w:r>
      <w:r w:rsidR="003C3046">
        <w:rPr>
          <w:rFonts w:eastAsiaTheme="minorHAnsi"/>
          <w:lang w:val="en-US" w:eastAsia="en-US"/>
        </w:rPr>
        <w:t>’s</w:t>
      </w:r>
      <w:r w:rsidR="003C3046">
        <w:rPr>
          <w:rFonts w:eastAsiaTheme="minorHAnsi"/>
          <w:lang w:eastAsia="en-US"/>
        </w:rPr>
        <w:t xml:space="preserve"> </w:t>
      </w:r>
      <w:r w:rsidR="00CF2A54">
        <w:rPr>
          <w:rFonts w:eastAsiaTheme="minorHAnsi"/>
          <w:lang w:val="en-US" w:eastAsia="en-US"/>
        </w:rPr>
        <w:t xml:space="preserve">view </w:t>
      </w:r>
      <w:r w:rsidR="00F438CE">
        <w:rPr>
          <w:rFonts w:eastAsiaTheme="minorHAnsi"/>
          <w:lang w:val="en-US" w:eastAsia="en-US"/>
        </w:rPr>
        <w:t xml:space="preserve">militant democracy </w:t>
      </w:r>
      <w:r w:rsidR="00CF2A54">
        <w:rPr>
          <w:rFonts w:eastAsiaTheme="minorHAnsi"/>
          <w:lang w:val="en-US" w:eastAsia="en-US"/>
        </w:rPr>
        <w:t>is constitutional risk aversion.</w:t>
      </w:r>
      <w:r w:rsidR="006007D5">
        <w:rPr>
          <w:rStyle w:val="FootnoteReference"/>
          <w:rFonts w:eastAsiaTheme="minorHAnsi"/>
          <w:lang w:val="en-US" w:eastAsia="en-US"/>
        </w:rPr>
        <w:footnoteReference w:id="73"/>
      </w:r>
      <w:r w:rsidR="00CF2A54">
        <w:rPr>
          <w:rFonts w:eastAsiaTheme="minorHAnsi"/>
          <w:lang w:val="en-US" w:eastAsia="en-US"/>
        </w:rPr>
        <w:t xml:space="preserve"> </w:t>
      </w:r>
      <w:r w:rsidR="00AF1913">
        <w:rPr>
          <w:rFonts w:eastAsiaTheme="minorHAnsi"/>
          <w:lang w:val="en-US" w:eastAsia="en-US"/>
        </w:rPr>
        <w:t>If this is so, to what extent, if any</w:t>
      </w:r>
      <w:r w:rsidR="00511569">
        <w:rPr>
          <w:rFonts w:eastAsiaTheme="minorHAnsi"/>
          <w:lang w:val="en-US" w:eastAsia="en-US"/>
        </w:rPr>
        <w:t xml:space="preserve"> at all</w:t>
      </w:r>
      <w:r w:rsidR="00AF1913">
        <w:rPr>
          <w:rFonts w:eastAsiaTheme="minorHAnsi"/>
          <w:lang w:val="en-US" w:eastAsia="en-US"/>
        </w:rPr>
        <w:t xml:space="preserve">, a Muslim woman wearing Muslim garb is a risk to democracy that requests militant reaction, </w:t>
      </w:r>
      <w:r w:rsidR="00AF1913" w:rsidRPr="00AF1913">
        <w:rPr>
          <w:rFonts w:eastAsiaTheme="minorHAnsi"/>
          <w:i/>
          <w:iCs/>
          <w:lang w:val="en-US" w:eastAsia="en-US"/>
        </w:rPr>
        <w:t>i.e.</w:t>
      </w:r>
      <w:r w:rsidR="00AF1913">
        <w:rPr>
          <w:rFonts w:eastAsiaTheme="minorHAnsi"/>
          <w:lang w:val="en-US" w:eastAsia="en-US"/>
        </w:rPr>
        <w:t xml:space="preserve"> restriction of the right to manifest her religion? </w:t>
      </w:r>
      <w:r w:rsidR="00511569">
        <w:rPr>
          <w:rFonts w:eastAsiaTheme="minorHAnsi"/>
          <w:lang w:val="en-US" w:eastAsia="en-US"/>
        </w:rPr>
        <w:t xml:space="preserve">Going back to </w:t>
      </w:r>
      <w:r w:rsidR="00511569" w:rsidRPr="00515B8A">
        <w:rPr>
          <w:rFonts w:eastAsiaTheme="minorHAnsi"/>
          <w:i/>
          <w:iCs/>
          <w:lang w:val="en-US" w:eastAsia="en-US"/>
        </w:rPr>
        <w:t xml:space="preserve">Leila </w:t>
      </w:r>
      <w:proofErr w:type="spellStart"/>
      <w:r w:rsidR="00511569" w:rsidRPr="00515B8A">
        <w:rPr>
          <w:rFonts w:eastAsiaTheme="minorHAnsi"/>
          <w:i/>
          <w:iCs/>
          <w:lang w:val="en-US" w:eastAsia="en-US"/>
        </w:rPr>
        <w:t>Sahin</w:t>
      </w:r>
      <w:proofErr w:type="spellEnd"/>
      <w:r w:rsidR="00511569" w:rsidRPr="00515B8A">
        <w:rPr>
          <w:rFonts w:eastAsiaTheme="minorHAnsi"/>
          <w:i/>
          <w:iCs/>
          <w:lang w:val="en-US" w:eastAsia="en-US"/>
        </w:rPr>
        <w:t xml:space="preserve"> </w:t>
      </w:r>
      <w:r w:rsidR="00511569" w:rsidRPr="00FC2921">
        <w:rPr>
          <w:rFonts w:eastAsiaTheme="minorHAnsi"/>
          <w:lang w:val="en-US" w:eastAsia="en-US"/>
        </w:rPr>
        <w:t>case</w:t>
      </w:r>
      <w:r w:rsidR="00511569">
        <w:rPr>
          <w:rFonts w:eastAsiaTheme="minorHAnsi"/>
          <w:lang w:val="en-US" w:eastAsia="en-US"/>
        </w:rPr>
        <w:t xml:space="preserve">, the warning of dissenting judge </w:t>
      </w:r>
      <w:r w:rsidR="00511569" w:rsidRPr="004033B1">
        <w:rPr>
          <w:rStyle w:val="sb8d990e2"/>
          <w:color w:val="000000"/>
          <w:shd w:val="clear" w:color="auto" w:fill="FFFFFF"/>
          <w:lang w:val="en-US"/>
        </w:rPr>
        <w:t>that “not all women who wear the headscarf are fundamentalists”</w:t>
      </w:r>
      <w:r w:rsidR="00515B8A">
        <w:rPr>
          <w:rStyle w:val="sb8d990e2"/>
          <w:color w:val="000000"/>
          <w:shd w:val="clear" w:color="auto" w:fill="FFFFFF"/>
          <w:lang w:val="en-US"/>
        </w:rPr>
        <w:t>,</w:t>
      </w:r>
      <w:r w:rsidR="006007D5">
        <w:rPr>
          <w:rStyle w:val="FootnoteReference"/>
          <w:color w:val="000000"/>
          <w:shd w:val="clear" w:color="auto" w:fill="FFFFFF"/>
          <w:lang w:val="en-US"/>
        </w:rPr>
        <w:footnoteReference w:id="74"/>
      </w:r>
      <w:r w:rsidR="00515B8A">
        <w:rPr>
          <w:rStyle w:val="sb8d990e2"/>
          <w:color w:val="000000"/>
          <w:shd w:val="clear" w:color="auto" w:fill="FFFFFF"/>
          <w:lang w:val="en-US"/>
        </w:rPr>
        <w:t xml:space="preserve"> indicates that generally no apparent link between the women wearing the Muslim garb and anti-democratic agenda</w:t>
      </w:r>
      <w:r w:rsidR="00C75536">
        <w:rPr>
          <w:rStyle w:val="sb8d990e2"/>
          <w:color w:val="000000"/>
          <w:shd w:val="clear" w:color="auto" w:fill="FFFFFF"/>
          <w:lang w:val="en-US"/>
        </w:rPr>
        <w:t>,</w:t>
      </w:r>
      <w:r w:rsidR="00515B8A">
        <w:rPr>
          <w:rStyle w:val="sb8d990e2"/>
          <w:color w:val="000000"/>
          <w:shd w:val="clear" w:color="auto" w:fill="FFFFFF"/>
          <w:lang w:val="en-US"/>
        </w:rPr>
        <w:t xml:space="preserve"> </w:t>
      </w:r>
      <w:r w:rsidR="00FB632C">
        <w:rPr>
          <w:rStyle w:val="sb8d990e2"/>
          <w:color w:val="000000"/>
          <w:shd w:val="clear" w:color="auto" w:fill="FFFFFF"/>
          <w:lang w:val="en-US"/>
        </w:rPr>
        <w:t>necessary to build a militant democracy case</w:t>
      </w:r>
      <w:r w:rsidR="00C75536">
        <w:rPr>
          <w:rStyle w:val="sb8d990e2"/>
          <w:color w:val="000000"/>
          <w:shd w:val="clear" w:color="auto" w:fill="FFFFFF"/>
          <w:lang w:val="en-US"/>
        </w:rPr>
        <w:t>, exists.</w:t>
      </w:r>
      <w:r w:rsidR="00FB632C">
        <w:rPr>
          <w:rStyle w:val="sb8d990e2"/>
          <w:color w:val="000000"/>
          <w:shd w:val="clear" w:color="auto" w:fill="FFFFFF"/>
          <w:lang w:val="en-US"/>
        </w:rPr>
        <w:t xml:space="preserve">  </w:t>
      </w:r>
      <w:r w:rsidR="00E173CC">
        <w:rPr>
          <w:rStyle w:val="sb8d990e2"/>
          <w:color w:val="000000"/>
          <w:shd w:val="clear" w:color="auto" w:fill="FFFFFF"/>
          <w:lang w:val="en-US"/>
        </w:rPr>
        <w:t>Moreover, a number of women wearing a full-face veils in public spaces in Europe does not expose well-organized and massive anti-democratic force: Mancini</w:t>
      </w:r>
      <w:r w:rsidR="006A482F">
        <w:rPr>
          <w:rStyle w:val="sb8d990e2"/>
          <w:color w:val="000000"/>
          <w:shd w:val="clear" w:color="auto" w:fill="FFFFFF"/>
          <w:lang w:val="en-US"/>
        </w:rPr>
        <w:t xml:space="preserve">’s </w:t>
      </w:r>
      <w:r w:rsidR="0017541F">
        <w:rPr>
          <w:rStyle w:val="sb8d990e2"/>
          <w:color w:val="000000"/>
          <w:shd w:val="clear" w:color="auto" w:fill="FFFFFF"/>
          <w:lang w:val="en-US"/>
        </w:rPr>
        <w:t>analysis</w:t>
      </w:r>
      <w:r w:rsidR="006A482F">
        <w:rPr>
          <w:rStyle w:val="sb8d990e2"/>
          <w:color w:val="000000"/>
          <w:shd w:val="clear" w:color="auto" w:fill="FFFFFF"/>
          <w:lang w:val="en-US"/>
        </w:rPr>
        <w:t xml:space="preserve"> displays</w:t>
      </w:r>
      <w:r w:rsidR="00E173CC">
        <w:rPr>
          <w:rStyle w:val="sb8d990e2"/>
          <w:color w:val="000000"/>
          <w:shd w:val="clear" w:color="auto" w:fill="FFFFFF"/>
          <w:lang w:val="en-US"/>
        </w:rPr>
        <w:t xml:space="preserve"> that</w:t>
      </w:r>
      <w:r w:rsidR="006A482F">
        <w:rPr>
          <w:rStyle w:val="sb8d990e2"/>
          <w:color w:val="000000"/>
          <w:shd w:val="clear" w:color="auto" w:fill="FFFFFF"/>
          <w:lang w:val="en-US"/>
        </w:rPr>
        <w:t xml:space="preserve">, </w:t>
      </w:r>
      <w:r w:rsidR="00E173CC">
        <w:rPr>
          <w:rStyle w:val="sb8d990e2"/>
          <w:color w:val="000000"/>
          <w:shd w:val="clear" w:color="auto" w:fill="FFFFFF"/>
          <w:lang w:val="en-US"/>
        </w:rPr>
        <w:t>at one point</w:t>
      </w:r>
      <w:r w:rsidR="006A482F">
        <w:rPr>
          <w:rStyle w:val="sb8d990e2"/>
          <w:color w:val="000000"/>
          <w:shd w:val="clear" w:color="auto" w:fill="FFFFFF"/>
          <w:lang w:val="en-US"/>
        </w:rPr>
        <w:t xml:space="preserve">, </w:t>
      </w:r>
      <w:r w:rsidR="00E173CC">
        <w:rPr>
          <w:rStyle w:val="sb8d990e2"/>
          <w:color w:val="000000"/>
          <w:shd w:val="clear" w:color="auto" w:fill="FFFFFF"/>
          <w:lang w:val="en-US"/>
        </w:rPr>
        <w:t>measures criminalizing such apparel targeted aground 200 women in Belgium, less than 2000 women in France, around 160 in Austria and 300 in the Netherlands.</w:t>
      </w:r>
      <w:r w:rsidR="00FC4E52">
        <w:rPr>
          <w:rStyle w:val="FootnoteReference"/>
          <w:color w:val="000000"/>
          <w:shd w:val="clear" w:color="auto" w:fill="FFFFFF"/>
          <w:lang w:val="en-US"/>
        </w:rPr>
        <w:footnoteReference w:id="75"/>
      </w:r>
      <w:r w:rsidR="00E173CC">
        <w:rPr>
          <w:rStyle w:val="sb8d990e2"/>
          <w:color w:val="000000"/>
          <w:shd w:val="clear" w:color="auto" w:fill="FFFFFF"/>
          <w:lang w:val="en-US"/>
        </w:rPr>
        <w:t xml:space="preserve"> </w:t>
      </w:r>
      <w:r w:rsidR="00884444">
        <w:rPr>
          <w:rStyle w:val="sb8d990e2"/>
          <w:color w:val="000000"/>
          <w:shd w:val="clear" w:color="auto" w:fill="FFFFFF"/>
          <w:lang w:val="en-US"/>
        </w:rPr>
        <w:t>Finally, if</w:t>
      </w:r>
      <w:r w:rsidR="00166D8B">
        <w:rPr>
          <w:rStyle w:val="sb8d990e2"/>
          <w:color w:val="000000"/>
          <w:shd w:val="clear" w:color="auto" w:fill="FFFFFF"/>
          <w:lang w:val="en-US"/>
        </w:rPr>
        <w:t>,</w:t>
      </w:r>
      <w:r w:rsidR="00884444">
        <w:rPr>
          <w:rStyle w:val="sb8d990e2"/>
          <w:color w:val="000000"/>
          <w:shd w:val="clear" w:color="auto" w:fill="FFFFFF"/>
          <w:lang w:val="en-US"/>
        </w:rPr>
        <w:t xml:space="preserve"> </w:t>
      </w:r>
      <w:r w:rsidR="00166D8B">
        <w:rPr>
          <w:rStyle w:val="sb8d990e2"/>
          <w:color w:val="000000"/>
          <w:shd w:val="clear" w:color="auto" w:fill="FFFFFF"/>
          <w:lang w:val="en-US"/>
        </w:rPr>
        <w:t xml:space="preserve">as Mancini suggests, </w:t>
      </w:r>
      <w:r w:rsidR="00884444">
        <w:rPr>
          <w:rStyle w:val="sb8d990e2"/>
          <w:color w:val="000000"/>
          <w:shd w:val="clear" w:color="auto" w:fill="FFFFFF"/>
          <w:lang w:val="en-US"/>
        </w:rPr>
        <w:t>one takes</w:t>
      </w:r>
      <w:r w:rsidR="00166D8B">
        <w:rPr>
          <w:rStyle w:val="sb8d990e2"/>
          <w:color w:val="000000"/>
          <w:shd w:val="clear" w:color="auto" w:fill="FFFFFF"/>
          <w:lang w:val="en-US"/>
        </w:rPr>
        <w:t xml:space="preserve"> </w:t>
      </w:r>
      <w:r w:rsidR="00884444">
        <w:rPr>
          <w:rStyle w:val="sb8d990e2"/>
          <w:color w:val="000000"/>
          <w:shd w:val="clear" w:color="auto" w:fill="FFFFFF"/>
          <w:lang w:val="en-US"/>
        </w:rPr>
        <w:t xml:space="preserve">into </w:t>
      </w:r>
      <w:r w:rsidR="00A16773">
        <w:rPr>
          <w:rStyle w:val="sb8d990e2"/>
          <w:color w:val="000000"/>
          <w:shd w:val="clear" w:color="auto" w:fill="FFFFFF"/>
          <w:lang w:val="en-US"/>
        </w:rPr>
        <w:t>account</w:t>
      </w:r>
      <w:r w:rsidR="00884444">
        <w:rPr>
          <w:rStyle w:val="sb8d990e2"/>
          <w:color w:val="000000"/>
          <w:shd w:val="clear" w:color="auto" w:fill="FFFFFF"/>
          <w:lang w:val="en-US"/>
        </w:rPr>
        <w:t xml:space="preserve"> Ed</w:t>
      </w:r>
      <w:r w:rsidR="00A16773">
        <w:rPr>
          <w:rStyle w:val="sb8d990e2"/>
          <w:color w:val="000000"/>
          <w:shd w:val="clear" w:color="auto" w:fill="FFFFFF"/>
          <w:lang w:val="en-US"/>
        </w:rPr>
        <w:t>w</w:t>
      </w:r>
      <w:r w:rsidR="00884444">
        <w:rPr>
          <w:rStyle w:val="sb8d990e2"/>
          <w:color w:val="000000"/>
          <w:shd w:val="clear" w:color="auto" w:fill="FFFFFF"/>
          <w:lang w:val="en-US"/>
        </w:rPr>
        <w:t>ard Said</w:t>
      </w:r>
      <w:r w:rsidR="00A16773">
        <w:rPr>
          <w:rStyle w:val="sb8d990e2"/>
          <w:color w:val="000000"/>
          <w:shd w:val="clear" w:color="auto" w:fill="FFFFFF"/>
          <w:lang w:val="en-US"/>
        </w:rPr>
        <w:t>’s</w:t>
      </w:r>
      <w:r w:rsidR="00884444">
        <w:rPr>
          <w:rStyle w:val="sb8d990e2"/>
          <w:color w:val="000000"/>
          <w:shd w:val="clear" w:color="auto" w:fill="FFFFFF"/>
          <w:lang w:val="en-US"/>
        </w:rPr>
        <w:t xml:space="preserve"> claim that the Orient</w:t>
      </w:r>
      <w:r w:rsidR="00A16773">
        <w:rPr>
          <w:rStyle w:val="sb8d990e2"/>
          <w:color w:val="000000"/>
          <w:shd w:val="clear" w:color="auto" w:fill="FFFFFF"/>
          <w:lang w:val="en-US"/>
        </w:rPr>
        <w:t xml:space="preserve"> w</w:t>
      </w:r>
      <w:r w:rsidR="008B1A54">
        <w:rPr>
          <w:rStyle w:val="sb8d990e2"/>
          <w:color w:val="000000"/>
          <w:shd w:val="clear" w:color="auto" w:fill="FFFFFF"/>
          <w:lang w:val="en-US"/>
        </w:rPr>
        <w:t>as one of</w:t>
      </w:r>
      <w:r w:rsidR="00A16773">
        <w:rPr>
          <w:rStyle w:val="sb8d990e2"/>
          <w:color w:val="000000"/>
          <w:shd w:val="clear" w:color="auto" w:fill="FFFFFF"/>
          <w:lang w:val="en-US"/>
        </w:rPr>
        <w:t xml:space="preserve"> </w:t>
      </w:r>
      <w:r w:rsidR="00884444">
        <w:rPr>
          <w:rStyle w:val="sb8d990e2"/>
          <w:color w:val="000000"/>
          <w:shd w:val="clear" w:color="auto" w:fill="FFFFFF"/>
          <w:lang w:val="en-US"/>
        </w:rPr>
        <w:lastRenderedPageBreak/>
        <w:t xml:space="preserve">the </w:t>
      </w:r>
      <w:r w:rsidR="00A16773">
        <w:rPr>
          <w:rStyle w:val="sb8d990e2"/>
          <w:color w:val="000000"/>
          <w:shd w:val="clear" w:color="auto" w:fill="FFFFFF"/>
          <w:lang w:val="en-US"/>
        </w:rPr>
        <w:t>key blocs in building the European identity,</w:t>
      </w:r>
      <w:r w:rsidR="00D71B13">
        <w:rPr>
          <w:rStyle w:val="FootnoteReference"/>
          <w:color w:val="000000"/>
          <w:shd w:val="clear" w:color="auto" w:fill="FFFFFF"/>
          <w:lang w:val="en-US"/>
        </w:rPr>
        <w:footnoteReference w:id="76"/>
      </w:r>
      <w:r w:rsidR="00A16773">
        <w:rPr>
          <w:rStyle w:val="sb8d990e2"/>
          <w:color w:val="000000"/>
          <w:shd w:val="clear" w:color="auto" w:fill="FFFFFF"/>
          <w:lang w:val="en-US"/>
        </w:rPr>
        <w:t xml:space="preserve"> the </w:t>
      </w:r>
      <w:r w:rsidR="00884444">
        <w:rPr>
          <w:rStyle w:val="sb8d990e2"/>
          <w:color w:val="000000"/>
          <w:shd w:val="clear" w:color="auto" w:fill="FFFFFF"/>
          <w:lang w:val="en-US"/>
        </w:rPr>
        <w:t xml:space="preserve">absurdity of </w:t>
      </w:r>
      <w:r w:rsidR="00A16773">
        <w:rPr>
          <w:rStyle w:val="sb8d990e2"/>
          <w:color w:val="000000"/>
          <w:shd w:val="clear" w:color="auto" w:fill="FFFFFF"/>
          <w:lang w:val="en-US"/>
        </w:rPr>
        <w:t xml:space="preserve">subjecting </w:t>
      </w:r>
      <w:r w:rsidR="00884444">
        <w:rPr>
          <w:rStyle w:val="sb8d990e2"/>
          <w:color w:val="000000"/>
          <w:shd w:val="clear" w:color="auto" w:fill="FFFFFF"/>
          <w:lang w:val="en-US"/>
        </w:rPr>
        <w:t xml:space="preserve">the Muslim women wearing the veils </w:t>
      </w:r>
      <w:r w:rsidR="00A16773">
        <w:rPr>
          <w:rStyle w:val="sb8d990e2"/>
          <w:color w:val="000000"/>
          <w:shd w:val="clear" w:color="auto" w:fill="FFFFFF"/>
          <w:lang w:val="en-US"/>
        </w:rPr>
        <w:t xml:space="preserve">to </w:t>
      </w:r>
      <w:r w:rsidR="00166D8B">
        <w:rPr>
          <w:rStyle w:val="sb8d990e2"/>
          <w:color w:val="000000"/>
          <w:shd w:val="clear" w:color="auto" w:fill="FFFFFF"/>
          <w:lang w:val="en-US"/>
        </w:rPr>
        <w:t>‘</w:t>
      </w:r>
      <w:r w:rsidR="00A16773">
        <w:rPr>
          <w:rStyle w:val="sb8d990e2"/>
          <w:color w:val="000000"/>
          <w:shd w:val="clear" w:color="auto" w:fill="FFFFFF"/>
          <w:lang w:val="en-US"/>
        </w:rPr>
        <w:t>permissible</w:t>
      </w:r>
      <w:r w:rsidR="00166D8B">
        <w:rPr>
          <w:rStyle w:val="sb8d990e2"/>
          <w:color w:val="000000"/>
          <w:shd w:val="clear" w:color="auto" w:fill="FFFFFF"/>
          <w:lang w:val="en-US"/>
        </w:rPr>
        <w:t>’</w:t>
      </w:r>
      <w:r w:rsidR="00A16773">
        <w:rPr>
          <w:rStyle w:val="sb8d990e2"/>
          <w:color w:val="000000"/>
          <w:shd w:val="clear" w:color="auto" w:fill="FFFFFF"/>
          <w:lang w:val="en-US"/>
        </w:rPr>
        <w:t xml:space="preserve"> limitations of religious liberty becomes obvious. </w:t>
      </w:r>
    </w:p>
    <w:p w14:paraId="76F4E3A1" w14:textId="6224D15B" w:rsidR="008A6435" w:rsidRDefault="00FB632C" w:rsidP="008A6435">
      <w:pPr>
        <w:autoSpaceDE w:val="0"/>
        <w:autoSpaceDN w:val="0"/>
        <w:adjustRightInd w:val="0"/>
        <w:spacing w:line="360" w:lineRule="auto"/>
        <w:ind w:firstLine="360"/>
        <w:jc w:val="both"/>
        <w:rPr>
          <w:color w:val="0E101A"/>
        </w:rPr>
      </w:pPr>
      <w:r w:rsidRPr="00045D34">
        <w:rPr>
          <w:rFonts w:eastAsiaTheme="minorHAnsi"/>
          <w:lang w:val="en-US" w:eastAsia="en-US"/>
        </w:rPr>
        <w:t>However, this is not to deny that the European courts, although erroneously, have transplanted militant democracy logic in the religious freedom domain</w:t>
      </w:r>
      <w:r w:rsidR="005C19E3" w:rsidRPr="00045D34">
        <w:rPr>
          <w:rFonts w:eastAsiaTheme="minorHAnsi"/>
          <w:lang w:val="en-US" w:eastAsia="en-US"/>
        </w:rPr>
        <w:t>, moving European democracy closer to Schmitt’s vision of the constitutional state</w:t>
      </w:r>
      <w:r w:rsidR="00166D8B">
        <w:rPr>
          <w:rFonts w:eastAsiaTheme="minorHAnsi"/>
          <w:lang w:val="en-US" w:eastAsia="en-US"/>
        </w:rPr>
        <w:t xml:space="preserve">. </w:t>
      </w:r>
      <w:r w:rsidR="00C122D9">
        <w:rPr>
          <w:color w:val="0E101A"/>
        </w:rPr>
        <w:t>Nevertheless</w:t>
      </w:r>
      <w:r w:rsidR="008A6435">
        <w:rPr>
          <w:color w:val="0E101A"/>
        </w:rPr>
        <w:t>, this is not for the first time in history that the courts supported exclusionary politics. The experience learned from the US Supreme Court </w:t>
      </w:r>
      <w:r w:rsidR="008A6435">
        <w:rPr>
          <w:rStyle w:val="Emphasis"/>
          <w:color w:val="0E101A"/>
        </w:rPr>
        <w:t>Korematsu </w:t>
      </w:r>
      <w:r w:rsidR="008A6435">
        <w:rPr>
          <w:color w:val="0E101A"/>
        </w:rPr>
        <w:t>decision in which the Court upheld a race-specific statute disadvantaging the US citizens of Japanese origin due to military necessity during the Second World War should serve as a clear warning.</w:t>
      </w:r>
      <w:r w:rsidR="00741C7E">
        <w:rPr>
          <w:rStyle w:val="FootnoteReference"/>
          <w:color w:val="0E101A"/>
        </w:rPr>
        <w:footnoteReference w:id="77"/>
      </w:r>
      <w:r w:rsidR="008A6435">
        <w:rPr>
          <w:color w:val="0E101A"/>
        </w:rPr>
        <w:t xml:space="preserve"> Long after, in 1984</w:t>
      </w:r>
      <w:r w:rsidR="00A11AFE">
        <w:rPr>
          <w:color w:val="0E101A"/>
          <w:lang w:val="en-US"/>
        </w:rPr>
        <w:t>,</w:t>
      </w:r>
      <w:r w:rsidR="008A6435">
        <w:rPr>
          <w:color w:val="0E101A"/>
        </w:rPr>
        <w:t xml:space="preserve"> the Congress had enacted legislation acknowledging ‘the fundamental injustice’ towards Japanese minority, while the very Supreme Court </w:t>
      </w:r>
      <w:r w:rsidR="00BE36E4">
        <w:rPr>
          <w:color w:val="0E101A"/>
        </w:rPr>
        <w:t xml:space="preserve">only </w:t>
      </w:r>
      <w:r w:rsidR="008A6435">
        <w:rPr>
          <w:color w:val="0E101A"/>
        </w:rPr>
        <w:t>in 2018 admitted that the decision was wrong: “The dissent</w:t>
      </w:r>
      <w:r w:rsidR="00BC3BD9">
        <w:rPr>
          <w:color w:val="0E101A"/>
          <w:lang w:val="en-US"/>
        </w:rPr>
        <w:t>er</w:t>
      </w:r>
      <w:r w:rsidR="008A6435">
        <w:rPr>
          <w:color w:val="0E101A"/>
        </w:rPr>
        <w:t>’s reference to </w:t>
      </w:r>
      <w:r w:rsidR="008A6435">
        <w:rPr>
          <w:rStyle w:val="Emphasis"/>
          <w:color w:val="0E101A"/>
        </w:rPr>
        <w:t>Korematsu</w:t>
      </w:r>
      <w:r w:rsidR="008A6435">
        <w:rPr>
          <w:color w:val="0E101A"/>
        </w:rPr>
        <w:t>, however, affords this Court the opportunity to make express what is already obvious: </w:t>
      </w:r>
      <w:r w:rsidR="008A6435">
        <w:rPr>
          <w:rStyle w:val="Emphasis"/>
          <w:color w:val="0E101A"/>
        </w:rPr>
        <w:t>Korematsu</w:t>
      </w:r>
      <w:r w:rsidR="008A6435">
        <w:rPr>
          <w:color w:val="0E101A"/>
        </w:rPr>
        <w:t> was gravely wrong the day it was decided, has been overruled in the court of history, and—to be clear—'has no place in law under the Constitution.”</w:t>
      </w:r>
      <w:r w:rsidR="0043734C">
        <w:rPr>
          <w:rStyle w:val="FootnoteReference"/>
          <w:color w:val="0E101A"/>
        </w:rPr>
        <w:footnoteReference w:id="78"/>
      </w:r>
      <w:r w:rsidR="008A6435">
        <w:rPr>
          <w:color w:val="0E101A"/>
        </w:rPr>
        <w:t xml:space="preserve"> By the same token, the ECtHR’s and CJEU’s Islamic veil-jurisprudence that facially discriminate against Muslim women is inherently suspect under a liberal constitutional design.</w:t>
      </w:r>
    </w:p>
    <w:p w14:paraId="0982583E" w14:textId="4F372740" w:rsidR="008A6435" w:rsidRPr="008A6435" w:rsidRDefault="008A6435" w:rsidP="008A6435">
      <w:pPr>
        <w:autoSpaceDE w:val="0"/>
        <w:autoSpaceDN w:val="0"/>
        <w:adjustRightInd w:val="0"/>
        <w:spacing w:line="360" w:lineRule="auto"/>
        <w:ind w:firstLine="360"/>
        <w:jc w:val="both"/>
        <w:rPr>
          <w:rFonts w:eastAsiaTheme="minorHAnsi"/>
          <w:lang w:val="en-US" w:eastAsia="en-US"/>
        </w:rPr>
      </w:pPr>
      <w:r>
        <w:rPr>
          <w:color w:val="0E101A"/>
        </w:rPr>
        <w:t xml:space="preserve">In sum, as militant democracy does not equal </w:t>
      </w:r>
      <w:r w:rsidR="007A74BC">
        <w:rPr>
          <w:color w:val="0E101A"/>
          <w:lang w:val="en-US"/>
        </w:rPr>
        <w:t xml:space="preserve">the present phenomenon of </w:t>
      </w:r>
      <w:r>
        <w:rPr>
          <w:color w:val="0E101A"/>
        </w:rPr>
        <w:t>identitarian democracy, the judicial construction of the Muslim women being a threat to democracy should be challenged and not used as a claim against militant democracy.</w:t>
      </w:r>
    </w:p>
    <w:p w14:paraId="2247F0CC" w14:textId="77777777" w:rsidR="00AC4DA9" w:rsidRPr="00045D34" w:rsidRDefault="00AC4DA9" w:rsidP="00E40EF7">
      <w:pPr>
        <w:autoSpaceDE w:val="0"/>
        <w:autoSpaceDN w:val="0"/>
        <w:adjustRightInd w:val="0"/>
        <w:spacing w:line="360" w:lineRule="auto"/>
        <w:jc w:val="both"/>
        <w:rPr>
          <w:rFonts w:eastAsiaTheme="minorHAnsi"/>
          <w:lang w:val="en-US" w:eastAsia="en-US"/>
        </w:rPr>
      </w:pPr>
    </w:p>
    <w:p w14:paraId="1708CE09" w14:textId="0F3F984C" w:rsidR="005541FE" w:rsidRPr="00A57D25" w:rsidRDefault="00862889" w:rsidP="00A57D25">
      <w:pPr>
        <w:pStyle w:val="ListParagraph"/>
        <w:numPr>
          <w:ilvl w:val="0"/>
          <w:numId w:val="3"/>
        </w:numPr>
        <w:autoSpaceDE w:val="0"/>
        <w:autoSpaceDN w:val="0"/>
        <w:adjustRightInd w:val="0"/>
        <w:spacing w:line="360" w:lineRule="auto"/>
        <w:jc w:val="both"/>
        <w:rPr>
          <w:rFonts w:eastAsiaTheme="minorHAnsi"/>
          <w:b/>
          <w:bCs/>
          <w:lang w:val="en-US" w:eastAsia="en-US"/>
        </w:rPr>
      </w:pPr>
      <w:r w:rsidRPr="00A57D25">
        <w:rPr>
          <w:rFonts w:eastAsiaTheme="minorHAnsi"/>
          <w:b/>
          <w:bCs/>
          <w:lang w:val="en-US" w:eastAsia="en-US"/>
        </w:rPr>
        <w:t xml:space="preserve">CAN MILITANT DEMOCRACY </w:t>
      </w:r>
      <w:r>
        <w:rPr>
          <w:rFonts w:eastAsiaTheme="minorHAnsi"/>
          <w:b/>
          <w:bCs/>
          <w:lang w:val="en-US" w:eastAsia="en-US"/>
        </w:rPr>
        <w:t>C</w:t>
      </w:r>
      <w:r w:rsidRPr="00A57D25">
        <w:rPr>
          <w:rFonts w:eastAsiaTheme="minorHAnsi"/>
          <w:b/>
          <w:bCs/>
          <w:lang w:val="en-US" w:eastAsia="en-US"/>
        </w:rPr>
        <w:t>ONFRONT POPULISM?</w:t>
      </w:r>
    </w:p>
    <w:p w14:paraId="412555B1" w14:textId="3F9F1FCF" w:rsidR="005541FE" w:rsidRDefault="005541FE" w:rsidP="00564961">
      <w:pPr>
        <w:autoSpaceDE w:val="0"/>
        <w:autoSpaceDN w:val="0"/>
        <w:adjustRightInd w:val="0"/>
        <w:spacing w:line="360" w:lineRule="auto"/>
        <w:ind w:left="720"/>
        <w:jc w:val="both"/>
        <w:rPr>
          <w:rFonts w:eastAsiaTheme="minorHAnsi"/>
          <w:b/>
          <w:bCs/>
          <w:lang w:val="en-US" w:eastAsia="en-US"/>
        </w:rPr>
      </w:pPr>
    </w:p>
    <w:p w14:paraId="68AD7F24" w14:textId="25C53006" w:rsidR="00FB16AF" w:rsidRDefault="00FB16AF" w:rsidP="00FB16AF">
      <w:pPr>
        <w:autoSpaceDE w:val="0"/>
        <w:autoSpaceDN w:val="0"/>
        <w:adjustRightInd w:val="0"/>
        <w:spacing w:line="360" w:lineRule="auto"/>
        <w:ind w:firstLine="720"/>
        <w:jc w:val="both"/>
        <w:rPr>
          <w:rFonts w:eastAsiaTheme="minorHAnsi"/>
          <w:lang w:val="en-US" w:eastAsia="en-US"/>
        </w:rPr>
      </w:pPr>
      <w:r w:rsidRPr="00FB16AF">
        <w:rPr>
          <w:rFonts w:eastAsiaTheme="minorHAnsi"/>
          <w:lang w:val="en-US" w:eastAsia="en-US"/>
        </w:rPr>
        <w:t xml:space="preserve">So far, I have focused on the conceptual issues – what is and what is not militant democracy as a first step in testing Ginsburg’s and Huq’s thesis that militant democracy cannot help democracy </w:t>
      </w:r>
      <w:r w:rsidR="00B77E7B">
        <w:rPr>
          <w:rFonts w:eastAsiaTheme="minorHAnsi"/>
          <w:lang w:val="en-US" w:eastAsia="en-US"/>
        </w:rPr>
        <w:t>in</w:t>
      </w:r>
      <w:r w:rsidR="00B77E7B" w:rsidRPr="00FB16AF">
        <w:rPr>
          <w:rFonts w:eastAsiaTheme="minorHAnsi"/>
          <w:lang w:val="en-US" w:eastAsia="en-US"/>
        </w:rPr>
        <w:t xml:space="preserve"> </w:t>
      </w:r>
      <w:r w:rsidRPr="00FB16AF">
        <w:rPr>
          <w:rFonts w:eastAsiaTheme="minorHAnsi"/>
          <w:lang w:val="en-US" w:eastAsia="en-US"/>
        </w:rPr>
        <w:t>the process of sl</w:t>
      </w:r>
      <w:r w:rsidR="00B77E7B">
        <w:rPr>
          <w:rFonts w:eastAsiaTheme="minorHAnsi"/>
          <w:lang w:val="en-US" w:eastAsia="en-US"/>
        </w:rPr>
        <w:t>o</w:t>
      </w:r>
      <w:r w:rsidRPr="00FB16AF">
        <w:rPr>
          <w:rFonts w:eastAsiaTheme="minorHAnsi"/>
          <w:lang w:val="en-US" w:eastAsia="en-US"/>
        </w:rPr>
        <w:t>w</w:t>
      </w:r>
      <w:r w:rsidR="00B77E7B">
        <w:rPr>
          <w:rFonts w:eastAsiaTheme="minorHAnsi"/>
          <w:lang w:val="en-US" w:eastAsia="en-US"/>
        </w:rPr>
        <w:t>ly</w:t>
      </w:r>
      <w:r w:rsidRPr="00FB16AF">
        <w:rPr>
          <w:rFonts w:eastAsiaTheme="minorHAnsi"/>
          <w:lang w:val="en-US" w:eastAsia="en-US"/>
        </w:rPr>
        <w:t xml:space="preserve"> dying. Assuming that my differentiation between militant democracy</w:t>
      </w:r>
      <w:r w:rsidR="00CB45F2">
        <w:rPr>
          <w:rFonts w:eastAsiaTheme="minorHAnsi"/>
          <w:lang w:val="en-US" w:eastAsia="en-US"/>
        </w:rPr>
        <w:t xml:space="preserve">, </w:t>
      </w:r>
      <w:r w:rsidRPr="00FB16AF">
        <w:rPr>
          <w:rFonts w:eastAsiaTheme="minorHAnsi"/>
          <w:lang w:val="en-US" w:eastAsia="en-US"/>
        </w:rPr>
        <w:t>anti-terror</w:t>
      </w:r>
      <w:r w:rsidR="008752BC">
        <w:rPr>
          <w:rFonts w:eastAsiaTheme="minorHAnsi"/>
          <w:lang w:val="en-US" w:eastAsia="en-US"/>
        </w:rPr>
        <w:t>ism</w:t>
      </w:r>
      <w:r w:rsidRPr="00FB16AF">
        <w:rPr>
          <w:rFonts w:eastAsiaTheme="minorHAnsi"/>
          <w:lang w:val="en-US" w:eastAsia="en-US"/>
        </w:rPr>
        <w:t xml:space="preserve"> </w:t>
      </w:r>
      <w:r w:rsidR="008752BC">
        <w:rPr>
          <w:rFonts w:eastAsiaTheme="minorHAnsi"/>
          <w:lang w:val="en-US" w:eastAsia="en-US"/>
        </w:rPr>
        <w:t xml:space="preserve">law </w:t>
      </w:r>
      <w:r w:rsidRPr="00FB16AF">
        <w:rPr>
          <w:rFonts w:eastAsiaTheme="minorHAnsi"/>
          <w:lang w:val="en-US" w:eastAsia="en-US"/>
        </w:rPr>
        <w:t xml:space="preserve">and </w:t>
      </w:r>
      <w:r w:rsidR="00CB45F2">
        <w:rPr>
          <w:rFonts w:eastAsiaTheme="minorHAnsi"/>
          <w:lang w:val="en-US" w:eastAsia="en-US"/>
        </w:rPr>
        <w:t xml:space="preserve">its mutations in </w:t>
      </w:r>
      <w:r w:rsidR="00B77E7B">
        <w:rPr>
          <w:rFonts w:eastAsiaTheme="minorHAnsi"/>
          <w:lang w:val="en-US" w:eastAsia="en-US"/>
        </w:rPr>
        <w:t xml:space="preserve">the </w:t>
      </w:r>
      <w:r w:rsidRPr="00FB16AF">
        <w:rPr>
          <w:rFonts w:eastAsiaTheme="minorHAnsi"/>
          <w:lang w:val="en-US" w:eastAsia="en-US"/>
        </w:rPr>
        <w:t xml:space="preserve">religious liberty field is </w:t>
      </w:r>
      <w:r w:rsidR="00CB45F2" w:rsidRPr="00FB16AF">
        <w:rPr>
          <w:rFonts w:eastAsiaTheme="minorHAnsi"/>
          <w:lang w:val="en-US" w:eastAsia="en-US"/>
        </w:rPr>
        <w:t>acceptable</w:t>
      </w:r>
      <w:r w:rsidRPr="00FB16AF">
        <w:rPr>
          <w:rFonts w:eastAsiaTheme="minorHAnsi"/>
          <w:lang w:val="en-US" w:eastAsia="en-US"/>
        </w:rPr>
        <w:t>, the issue which still begs the answer is can militant democracy make democratic backsliding less likely? Or</w:t>
      </w:r>
      <w:r w:rsidR="002F5181">
        <w:rPr>
          <w:rFonts w:eastAsiaTheme="minorHAnsi"/>
          <w:lang w:val="en-US" w:eastAsia="en-US"/>
        </w:rPr>
        <w:t>,</w:t>
      </w:r>
      <w:r w:rsidRPr="00FB16AF">
        <w:rPr>
          <w:rFonts w:eastAsiaTheme="minorHAnsi"/>
          <w:lang w:val="en-US" w:eastAsia="en-US"/>
        </w:rPr>
        <w:t xml:space="preserve"> it may turn that Ginsburg’s and Huq’s disqualification of militant democracy </w:t>
      </w:r>
      <w:r w:rsidR="002F5181">
        <w:rPr>
          <w:rFonts w:eastAsiaTheme="minorHAnsi"/>
          <w:lang w:val="en-US" w:eastAsia="en-US"/>
        </w:rPr>
        <w:t xml:space="preserve">from the preventive constitutional toolkits </w:t>
      </w:r>
      <w:r w:rsidRPr="00FB16AF">
        <w:rPr>
          <w:rFonts w:eastAsiaTheme="minorHAnsi"/>
          <w:lang w:val="en-US" w:eastAsia="en-US"/>
        </w:rPr>
        <w:t>may be right</w:t>
      </w:r>
      <w:r w:rsidR="007F5F86">
        <w:rPr>
          <w:rFonts w:eastAsiaTheme="minorHAnsi"/>
          <w:lang w:val="en-US" w:eastAsia="en-US"/>
        </w:rPr>
        <w:t>,</w:t>
      </w:r>
      <w:r w:rsidRPr="00FB16AF">
        <w:rPr>
          <w:rFonts w:eastAsiaTheme="minorHAnsi"/>
          <w:lang w:val="en-US" w:eastAsia="en-US"/>
        </w:rPr>
        <w:t xml:space="preserve"> but for different reasons?</w:t>
      </w:r>
    </w:p>
    <w:p w14:paraId="5E1C98BF" w14:textId="6FAADE70" w:rsidR="00FB16AF" w:rsidRDefault="007F5F86" w:rsidP="00FB16AF">
      <w:pPr>
        <w:autoSpaceDE w:val="0"/>
        <w:autoSpaceDN w:val="0"/>
        <w:adjustRightInd w:val="0"/>
        <w:spacing w:line="360" w:lineRule="auto"/>
        <w:ind w:firstLine="720"/>
        <w:jc w:val="both"/>
        <w:rPr>
          <w:rFonts w:eastAsiaTheme="minorHAnsi"/>
          <w:lang w:val="en-US" w:eastAsia="en-US"/>
        </w:rPr>
      </w:pPr>
      <w:r w:rsidRPr="007F5F86">
        <w:rPr>
          <w:rFonts w:eastAsiaTheme="minorHAnsi"/>
          <w:lang w:val="en-US" w:eastAsia="en-US"/>
        </w:rPr>
        <w:lastRenderedPageBreak/>
        <w:t xml:space="preserve">One should keep in mind that Ginsburg and Huq have been investigating how constitutional design might prevent democratic erosion. For that purpose, they have recommended several techniques to a hypothetical designer of a new constitution. </w:t>
      </w:r>
      <w:r w:rsidR="008752BC">
        <w:rPr>
          <w:rFonts w:eastAsiaTheme="minorHAnsi"/>
          <w:lang w:val="en-US" w:eastAsia="en-US"/>
        </w:rPr>
        <w:t xml:space="preserve">The elimination of militant democracy from the preventive constitutional toolkits should not surprise, </w:t>
      </w:r>
      <w:r w:rsidRPr="007F5F86">
        <w:rPr>
          <w:rFonts w:eastAsiaTheme="minorHAnsi"/>
          <w:lang w:val="en-US" w:eastAsia="en-US"/>
        </w:rPr>
        <w:t xml:space="preserve">as militant democracy is </w:t>
      </w:r>
      <w:r w:rsidR="00BD29CA">
        <w:rPr>
          <w:rFonts w:eastAsiaTheme="minorHAnsi"/>
          <w:lang w:val="en-US" w:eastAsia="en-US"/>
        </w:rPr>
        <w:t xml:space="preserve">mostly </w:t>
      </w:r>
      <w:r w:rsidRPr="007F5F86">
        <w:rPr>
          <w:rFonts w:eastAsiaTheme="minorHAnsi"/>
          <w:lang w:val="en-US" w:eastAsia="en-US"/>
        </w:rPr>
        <w:t xml:space="preserve">absent from the constitutional discourse in the USA. Several reasons explain this fact. First, the concept is usually associated with the restrictions of </w:t>
      </w:r>
      <w:r w:rsidR="00A26A58">
        <w:rPr>
          <w:rFonts w:eastAsiaTheme="minorHAnsi"/>
          <w:lang w:val="en-US" w:eastAsia="en-US"/>
        </w:rPr>
        <w:t xml:space="preserve">the </w:t>
      </w:r>
      <w:r w:rsidRPr="007F5F86">
        <w:rPr>
          <w:rFonts w:eastAsiaTheme="minorHAnsi"/>
          <w:lang w:val="en-US" w:eastAsia="en-US"/>
        </w:rPr>
        <w:t>freedom of speech, the idea highly disqualified under the First Amendment clause.</w:t>
      </w:r>
      <w:r w:rsidR="00AC2EBE">
        <w:rPr>
          <w:rStyle w:val="FootnoteReference"/>
          <w:rFonts w:eastAsiaTheme="minorHAnsi"/>
          <w:lang w:val="en-US" w:eastAsia="en-US"/>
        </w:rPr>
        <w:footnoteReference w:id="79"/>
      </w:r>
      <w:r w:rsidRPr="007F5F86">
        <w:rPr>
          <w:rFonts w:eastAsiaTheme="minorHAnsi"/>
          <w:lang w:val="en-US" w:eastAsia="en-US"/>
        </w:rPr>
        <w:t xml:space="preserve"> Second,</w:t>
      </w:r>
      <w:r w:rsidR="00A738C3">
        <w:rPr>
          <w:rFonts w:eastAsiaTheme="minorHAnsi"/>
          <w:lang w:val="en-US" w:eastAsia="en-US"/>
        </w:rPr>
        <w:t xml:space="preserve"> </w:t>
      </w:r>
      <w:r w:rsidRPr="007F5F86">
        <w:rPr>
          <w:rFonts w:eastAsiaTheme="minorHAnsi"/>
          <w:lang w:val="en-US" w:eastAsia="en-US"/>
        </w:rPr>
        <w:t xml:space="preserve">a (wrong) tendency in the American discourse to identify defense mechanisms with criminal prosecution makes militant democracy undesirable constitutional </w:t>
      </w:r>
      <w:r w:rsidR="008752BC">
        <w:rPr>
          <w:rFonts w:eastAsiaTheme="minorHAnsi"/>
          <w:lang w:val="en-US" w:eastAsia="en-US"/>
        </w:rPr>
        <w:t xml:space="preserve">democracy defending </w:t>
      </w:r>
      <w:r w:rsidRPr="007F5F86">
        <w:rPr>
          <w:rFonts w:eastAsiaTheme="minorHAnsi"/>
          <w:lang w:val="en-US" w:eastAsia="en-US"/>
        </w:rPr>
        <w:t>technique.</w:t>
      </w:r>
      <w:r w:rsidR="00AC2EBE">
        <w:rPr>
          <w:rStyle w:val="FootnoteReference"/>
          <w:rFonts w:eastAsiaTheme="minorHAnsi"/>
          <w:lang w:val="en-US" w:eastAsia="en-US"/>
        </w:rPr>
        <w:footnoteReference w:id="80"/>
      </w:r>
      <w:r w:rsidRPr="007F5F86">
        <w:rPr>
          <w:rFonts w:eastAsiaTheme="minorHAnsi"/>
          <w:lang w:val="en-US" w:eastAsia="en-US"/>
        </w:rPr>
        <w:t xml:space="preserve"> Third, Samuel Issacharoff identifies the specificity of the American presidential system that </w:t>
      </w:r>
      <w:r w:rsidR="00A26A58">
        <w:rPr>
          <w:rFonts w:eastAsiaTheme="minorHAnsi"/>
          <w:lang w:val="en-US" w:eastAsia="en-US"/>
        </w:rPr>
        <w:t>rather limits</w:t>
      </w:r>
      <w:r w:rsidR="00A26A58" w:rsidRPr="007F5F86">
        <w:rPr>
          <w:rFonts w:eastAsiaTheme="minorHAnsi"/>
          <w:lang w:val="en-US" w:eastAsia="en-US"/>
        </w:rPr>
        <w:t xml:space="preserve"> </w:t>
      </w:r>
      <w:r w:rsidRPr="007F5F86">
        <w:rPr>
          <w:rFonts w:eastAsiaTheme="minorHAnsi"/>
          <w:lang w:val="en-US" w:eastAsia="en-US"/>
        </w:rPr>
        <w:t>the possibility for extremists to disrupt governance, as yet another reason for the redundancy of militant democracy in the US. “There are many reasons to be wary of presidentialism, but it does serve as a buffer to the threat posed by marginal parties’ ability to insinuate themselves into parliament and disrupt governance from within,” Issacharoff claims.</w:t>
      </w:r>
      <w:r w:rsidR="00AC2EBE">
        <w:rPr>
          <w:rStyle w:val="FootnoteReference"/>
          <w:rFonts w:eastAsiaTheme="minorHAnsi"/>
          <w:lang w:val="en-US" w:eastAsia="en-US"/>
        </w:rPr>
        <w:footnoteReference w:id="81"/>
      </w:r>
    </w:p>
    <w:p w14:paraId="25339801" w14:textId="1C179C2B" w:rsidR="00FB16AF" w:rsidRDefault="002F5181" w:rsidP="00FB16AF">
      <w:pPr>
        <w:autoSpaceDE w:val="0"/>
        <w:autoSpaceDN w:val="0"/>
        <w:adjustRightInd w:val="0"/>
        <w:spacing w:line="360" w:lineRule="auto"/>
        <w:ind w:firstLine="720"/>
        <w:jc w:val="both"/>
        <w:rPr>
          <w:rFonts w:eastAsiaTheme="minorHAnsi"/>
          <w:lang w:val="en-US" w:eastAsia="en-US"/>
        </w:rPr>
      </w:pPr>
      <w:r>
        <w:rPr>
          <w:rFonts w:eastAsiaTheme="minorHAnsi"/>
          <w:lang w:val="en-US" w:eastAsia="en-US"/>
        </w:rPr>
        <w:t xml:space="preserve">Now, </w:t>
      </w:r>
      <w:r w:rsidR="00B60DE9">
        <w:rPr>
          <w:rFonts w:eastAsiaTheme="minorHAnsi"/>
          <w:lang w:val="en-US" w:eastAsia="en-US"/>
        </w:rPr>
        <w:t xml:space="preserve">if one </w:t>
      </w:r>
      <w:r w:rsidR="00FB16AF" w:rsidRPr="00FB16AF">
        <w:rPr>
          <w:rFonts w:eastAsiaTheme="minorHAnsi"/>
          <w:lang w:val="en-US" w:eastAsia="en-US"/>
        </w:rPr>
        <w:t>reject</w:t>
      </w:r>
      <w:r w:rsidR="00B60DE9">
        <w:rPr>
          <w:rFonts w:eastAsiaTheme="minorHAnsi"/>
          <w:lang w:val="en-US" w:eastAsia="en-US"/>
        </w:rPr>
        <w:t>s</w:t>
      </w:r>
      <w:r w:rsidR="00FB16AF" w:rsidRPr="00FB16AF">
        <w:rPr>
          <w:rFonts w:eastAsiaTheme="minorHAnsi"/>
          <w:lang w:val="en-US" w:eastAsia="en-US"/>
        </w:rPr>
        <w:t xml:space="preserve"> the idea that all contemporary democracies should switch to the presidential system to preserve democracy from extremism as </w:t>
      </w:r>
      <w:r w:rsidR="00FB16AF">
        <w:rPr>
          <w:rFonts w:eastAsiaTheme="minorHAnsi"/>
          <w:lang w:val="en-US" w:eastAsia="en-US"/>
        </w:rPr>
        <w:t xml:space="preserve">trivial </w:t>
      </w:r>
      <w:r w:rsidR="00FB16AF" w:rsidRPr="00FB16AF">
        <w:rPr>
          <w:rFonts w:eastAsiaTheme="minorHAnsi"/>
          <w:lang w:val="en-US" w:eastAsia="en-US"/>
        </w:rPr>
        <w:t>and accept that</w:t>
      </w:r>
      <w:r w:rsidR="00A26A58">
        <w:rPr>
          <w:rFonts w:eastAsiaTheme="minorHAnsi"/>
          <w:lang w:val="en-US" w:eastAsia="en-US"/>
        </w:rPr>
        <w:t>,</w:t>
      </w:r>
      <w:r w:rsidR="00FB16AF" w:rsidRPr="00FB16AF">
        <w:rPr>
          <w:rFonts w:eastAsiaTheme="minorHAnsi"/>
          <w:lang w:val="en-US" w:eastAsia="en-US"/>
        </w:rPr>
        <w:t xml:space="preserve"> for historical reasons and terrible experience with Nazi politics in Europe</w:t>
      </w:r>
      <w:r w:rsidR="00FB16AF">
        <w:rPr>
          <w:rFonts w:eastAsiaTheme="minorHAnsi"/>
          <w:lang w:val="en-US" w:eastAsia="en-US"/>
        </w:rPr>
        <w:t xml:space="preserve">, </w:t>
      </w:r>
      <w:r w:rsidR="00FB16AF" w:rsidRPr="00FB16AF">
        <w:rPr>
          <w:rFonts w:eastAsiaTheme="minorHAnsi"/>
          <w:lang w:val="en-US" w:eastAsia="en-US"/>
        </w:rPr>
        <w:t>the European democracies should keep their militancy constitutionally entrenched</w:t>
      </w:r>
      <w:r w:rsidR="00B60DE9">
        <w:rPr>
          <w:rFonts w:eastAsiaTheme="minorHAnsi"/>
          <w:lang w:val="en-US" w:eastAsia="en-US"/>
        </w:rPr>
        <w:t xml:space="preserve">, </w:t>
      </w:r>
      <w:r w:rsidR="00FB16AF" w:rsidRPr="00FB16AF">
        <w:rPr>
          <w:rFonts w:eastAsiaTheme="minorHAnsi"/>
          <w:lang w:val="en-US" w:eastAsia="en-US"/>
        </w:rPr>
        <w:t>is militant democracy also helpful in confronting populism?</w:t>
      </w:r>
    </w:p>
    <w:p w14:paraId="4EB72805" w14:textId="37626F38" w:rsidR="007F5F86" w:rsidRDefault="007F5F86" w:rsidP="005F78FF">
      <w:pPr>
        <w:autoSpaceDE w:val="0"/>
        <w:autoSpaceDN w:val="0"/>
        <w:adjustRightInd w:val="0"/>
        <w:spacing w:line="360" w:lineRule="auto"/>
        <w:ind w:firstLine="720"/>
        <w:jc w:val="both"/>
        <w:rPr>
          <w:rFonts w:eastAsiaTheme="minorHAnsi"/>
          <w:lang w:val="en-US" w:eastAsia="en-US"/>
        </w:rPr>
      </w:pPr>
      <w:r w:rsidRPr="007F5F86">
        <w:rPr>
          <w:rFonts w:eastAsiaTheme="minorHAnsi"/>
          <w:lang w:val="en-US" w:eastAsia="en-US"/>
        </w:rPr>
        <w:t>Earlier in this chapter, I have suggested that populists, like extremists, are depicted as a threat to democracy. However, it has already been noted that these threats are of a different sort. Populists rule in people's name, and therefore, unlike extremists, they do not want to destroy democracy but to reduce it to electoral democracy as they maintain power through regular elections. Consequently, it seems that the militant democracy paradigm makes little sense in confronting</w:t>
      </w:r>
      <w:r w:rsidR="009718B3">
        <w:rPr>
          <w:rFonts w:eastAsiaTheme="minorHAnsi"/>
          <w:lang w:val="en-US" w:eastAsia="en-US"/>
        </w:rPr>
        <w:t xml:space="preserve"> populists’ attacks on democracy</w:t>
      </w:r>
      <w:r w:rsidRPr="007F5F86">
        <w:rPr>
          <w:rFonts w:eastAsiaTheme="minorHAnsi"/>
          <w:lang w:val="en-US" w:eastAsia="en-US"/>
        </w:rPr>
        <w:t xml:space="preserve">, as </w:t>
      </w:r>
      <w:proofErr w:type="spellStart"/>
      <w:r w:rsidRPr="007F5F86">
        <w:rPr>
          <w:rFonts w:eastAsiaTheme="minorHAnsi"/>
          <w:lang w:val="en-US" w:eastAsia="en-US"/>
        </w:rPr>
        <w:t>Weiler</w:t>
      </w:r>
      <w:proofErr w:type="spellEnd"/>
      <w:r w:rsidRPr="007F5F86">
        <w:rPr>
          <w:rFonts w:eastAsiaTheme="minorHAnsi"/>
          <w:lang w:val="en-US" w:eastAsia="en-US"/>
        </w:rPr>
        <w:t xml:space="preserve"> claims, democratic backsliding 'is often done in the name of democracy and popular will.'</w:t>
      </w:r>
      <w:r w:rsidR="00AC2EBE">
        <w:rPr>
          <w:rStyle w:val="FootnoteReference"/>
          <w:rFonts w:eastAsiaTheme="minorHAnsi"/>
          <w:lang w:val="en-US" w:eastAsia="en-US"/>
        </w:rPr>
        <w:footnoteReference w:id="82"/>
      </w:r>
      <w:r w:rsidRPr="007F5F86">
        <w:rPr>
          <w:rFonts w:eastAsiaTheme="minorHAnsi"/>
          <w:lang w:val="en-US" w:eastAsia="en-US"/>
        </w:rPr>
        <w:t xml:space="preserve"> Put differently, populists are not enemies of democracy in the same sense as extremists because majoritarianism they rely on, in principle, does not reject democracy. In the end, as </w:t>
      </w:r>
      <w:r w:rsidR="009718B3" w:rsidRPr="001B1DFE">
        <w:rPr>
          <w:rFonts w:cs="Stone Serif ITC"/>
          <w:color w:val="000000"/>
        </w:rPr>
        <w:t>Müller</w:t>
      </w:r>
      <w:r w:rsidR="009718B3">
        <w:rPr>
          <w:rFonts w:cs="Stone Serif ITC"/>
          <w:color w:val="000000"/>
          <w:lang w:val="en-US"/>
        </w:rPr>
        <w:t xml:space="preserve"> </w:t>
      </w:r>
      <w:r w:rsidRPr="007F5F86">
        <w:rPr>
          <w:rFonts w:eastAsiaTheme="minorHAnsi"/>
          <w:lang w:val="en-US" w:eastAsia="en-US"/>
        </w:rPr>
        <w:t xml:space="preserve">argues, militant democracy response </w:t>
      </w:r>
      <w:r w:rsidRPr="007F5F86">
        <w:rPr>
          <w:rFonts w:eastAsiaTheme="minorHAnsi"/>
          <w:lang w:val="en-US" w:eastAsia="en-US"/>
        </w:rPr>
        <w:lastRenderedPageBreak/>
        <w:t>to populist rulers can harm democracy rather than defend it because it may amount to revenge.</w:t>
      </w:r>
      <w:r w:rsidR="00AC2EBE">
        <w:rPr>
          <w:rStyle w:val="FootnoteReference"/>
          <w:rFonts w:eastAsiaTheme="minorHAnsi"/>
          <w:lang w:val="en-US" w:eastAsia="en-US"/>
        </w:rPr>
        <w:footnoteReference w:id="83"/>
      </w:r>
      <w:r w:rsidRPr="007F5F86">
        <w:rPr>
          <w:rFonts w:eastAsiaTheme="minorHAnsi"/>
          <w:lang w:val="en-US" w:eastAsia="en-US"/>
        </w:rPr>
        <w:t xml:space="preserve"> </w:t>
      </w:r>
      <w:r w:rsidR="009718B3">
        <w:rPr>
          <w:rFonts w:eastAsiaTheme="minorHAnsi"/>
          <w:lang w:val="en-US" w:eastAsia="en-US"/>
        </w:rPr>
        <w:t>Thus, o</w:t>
      </w:r>
      <w:r w:rsidRPr="007F5F86">
        <w:rPr>
          <w:rFonts w:eastAsiaTheme="minorHAnsi"/>
          <w:lang w:val="en-US" w:eastAsia="en-US"/>
        </w:rPr>
        <w:t xml:space="preserve">n the one hand, populists exclude all </w:t>
      </w:r>
      <w:r w:rsidR="00A520FC">
        <w:rPr>
          <w:rFonts w:eastAsiaTheme="minorHAnsi"/>
          <w:lang w:val="en-US" w:eastAsia="en-US"/>
        </w:rPr>
        <w:t xml:space="preserve">those who do </w:t>
      </w:r>
      <w:r w:rsidRPr="007F5F86">
        <w:rPr>
          <w:rFonts w:eastAsiaTheme="minorHAnsi"/>
          <w:lang w:val="en-US" w:eastAsia="en-US"/>
        </w:rPr>
        <w:t xml:space="preserve">not belong to </w:t>
      </w:r>
      <w:r w:rsidR="00A520FC" w:rsidRPr="007F5F86">
        <w:rPr>
          <w:rFonts w:eastAsiaTheme="minorHAnsi"/>
          <w:lang w:val="en-US" w:eastAsia="en-US"/>
        </w:rPr>
        <w:t>'</w:t>
      </w:r>
      <w:r w:rsidR="00A520FC">
        <w:rPr>
          <w:rFonts w:eastAsiaTheme="minorHAnsi"/>
          <w:lang w:val="en-US" w:eastAsia="en-US"/>
        </w:rPr>
        <w:t>true</w:t>
      </w:r>
      <w:r w:rsidR="00A520FC" w:rsidRPr="007F5F86">
        <w:rPr>
          <w:rFonts w:eastAsiaTheme="minorHAnsi"/>
          <w:lang w:val="en-US" w:eastAsia="en-US"/>
        </w:rPr>
        <w:t xml:space="preserve"> </w:t>
      </w:r>
      <w:r w:rsidRPr="007F5F86">
        <w:rPr>
          <w:rFonts w:eastAsiaTheme="minorHAnsi"/>
          <w:lang w:val="en-US" w:eastAsia="en-US"/>
        </w:rPr>
        <w:t xml:space="preserve">people' </w:t>
      </w:r>
      <w:r w:rsidR="00A520FC">
        <w:rPr>
          <w:rFonts w:eastAsiaTheme="minorHAnsi"/>
          <w:lang w:val="en-US" w:eastAsia="en-US"/>
        </w:rPr>
        <w:t xml:space="preserve">in </w:t>
      </w:r>
      <w:r w:rsidR="00CB45F2">
        <w:rPr>
          <w:rFonts w:eastAsiaTheme="minorHAnsi"/>
          <w:lang w:val="en-US" w:eastAsia="en-US"/>
        </w:rPr>
        <w:t>their version of ‘the people’</w:t>
      </w:r>
      <w:r w:rsidRPr="007F5F86">
        <w:rPr>
          <w:rFonts w:eastAsiaTheme="minorHAnsi"/>
          <w:lang w:val="en-US" w:eastAsia="en-US"/>
        </w:rPr>
        <w:t>, while on the other</w:t>
      </w:r>
      <w:r w:rsidR="00A520FC">
        <w:rPr>
          <w:rFonts w:eastAsiaTheme="minorHAnsi"/>
          <w:lang w:val="en-US" w:eastAsia="en-US"/>
        </w:rPr>
        <w:t>,</w:t>
      </w:r>
      <w:r w:rsidRPr="007F5F86">
        <w:rPr>
          <w:rFonts w:eastAsiaTheme="minorHAnsi"/>
          <w:lang w:val="en-US" w:eastAsia="en-US"/>
        </w:rPr>
        <w:t xml:space="preserve"> militant democracy response to such differentiation is also of an exclusionary nature.</w:t>
      </w:r>
      <w:r w:rsidR="00AC2EBE">
        <w:rPr>
          <w:rStyle w:val="FootnoteReference"/>
          <w:rFonts w:eastAsiaTheme="minorHAnsi"/>
          <w:lang w:val="en-US" w:eastAsia="en-US"/>
        </w:rPr>
        <w:footnoteReference w:id="84"/>
      </w:r>
      <w:r w:rsidRPr="007F5F86">
        <w:rPr>
          <w:rFonts w:eastAsiaTheme="minorHAnsi"/>
          <w:lang w:val="en-US" w:eastAsia="en-US"/>
        </w:rPr>
        <w:t xml:space="preserve"> In view of these considerations, it seems likely that militant democracy can be a wrong tool to confront democratic backsliding.</w:t>
      </w:r>
    </w:p>
    <w:p w14:paraId="11BF306F" w14:textId="56518891" w:rsidR="007F5F86" w:rsidRDefault="007F5F86" w:rsidP="00BC33FA">
      <w:pPr>
        <w:autoSpaceDE w:val="0"/>
        <w:autoSpaceDN w:val="0"/>
        <w:adjustRightInd w:val="0"/>
        <w:spacing w:line="360" w:lineRule="auto"/>
        <w:ind w:firstLine="720"/>
        <w:jc w:val="both"/>
        <w:rPr>
          <w:color w:val="0E101A"/>
          <w:lang w:val="en-US"/>
        </w:rPr>
      </w:pPr>
      <w:r w:rsidRPr="007F5F86">
        <w:rPr>
          <w:color w:val="0E101A"/>
          <w:lang w:val="en-US"/>
        </w:rPr>
        <w:t>However, as democracy should not be reduced to the majority rule, Cass Sunstein reminds us that constitutionalism is the preventive mechanism to protect democratic processes against their own excesses or misjudgments: “if a political majority restricts dissenters, or disenfranchises people, it is behaving inconsistently with democracy, and a constitution that forbids those actions is justified on democracy grounds.”</w:t>
      </w:r>
      <w:r w:rsidR="00AC2EBE">
        <w:rPr>
          <w:rStyle w:val="FootnoteReference"/>
          <w:color w:val="0E101A"/>
          <w:lang w:val="en-US"/>
        </w:rPr>
        <w:footnoteReference w:id="85"/>
      </w:r>
      <w:r w:rsidRPr="007F5F86">
        <w:rPr>
          <w:color w:val="0E101A"/>
          <w:lang w:val="en-US"/>
        </w:rPr>
        <w:t xml:space="preserve"> Therefore, some authors have suggested that constitutionalism should be upgraded to a militant mode as a response to the populist erosion of democracy.</w:t>
      </w:r>
      <w:r w:rsidR="00AC2EBE">
        <w:rPr>
          <w:rStyle w:val="FootnoteReference"/>
          <w:color w:val="0E101A"/>
          <w:lang w:val="en-US"/>
        </w:rPr>
        <w:footnoteReference w:id="86"/>
      </w:r>
      <w:r w:rsidRPr="007F5F86">
        <w:rPr>
          <w:color w:val="0E101A"/>
          <w:lang w:val="en-US"/>
        </w:rPr>
        <w:t xml:space="preserve"> ‘Militant constitutionalism’ symbolizes robust constitutional self-defense, an improved version of preventive measures already embodied in the constitutions. </w:t>
      </w:r>
      <w:r w:rsidRPr="00391536">
        <w:rPr>
          <w:color w:val="0E101A"/>
          <w:lang w:val="en-US"/>
        </w:rPr>
        <w:t xml:space="preserve">According to </w:t>
      </w:r>
      <w:proofErr w:type="spellStart"/>
      <w:r w:rsidR="00391536" w:rsidRPr="00391536">
        <w:rPr>
          <w:color w:val="000000"/>
          <w:spacing w:val="-5"/>
          <w:shd w:val="clear" w:color="auto" w:fill="FFFFFF"/>
          <w:lang w:val="en-US"/>
        </w:rPr>
        <w:t>Sajó</w:t>
      </w:r>
      <w:proofErr w:type="spellEnd"/>
      <w:r w:rsidR="00391536" w:rsidRPr="00391536">
        <w:rPr>
          <w:color w:val="000000"/>
          <w:spacing w:val="-5"/>
          <w:shd w:val="clear" w:color="auto" w:fill="FFFFFF"/>
          <w:lang w:val="en-US"/>
        </w:rPr>
        <w:t>,</w:t>
      </w:r>
      <w:r w:rsidR="00391536" w:rsidRPr="001B1DFE">
        <w:rPr>
          <w:color w:val="000000"/>
          <w:spacing w:val="-5"/>
          <w:sz w:val="20"/>
          <w:szCs w:val="20"/>
          <w:shd w:val="clear" w:color="auto" w:fill="FFFFFF"/>
          <w:lang w:val="en-US"/>
        </w:rPr>
        <w:t xml:space="preserve"> </w:t>
      </w:r>
      <w:r w:rsidRPr="007F5F86">
        <w:rPr>
          <w:color w:val="0E101A"/>
          <w:lang w:val="en-US"/>
        </w:rPr>
        <w:t xml:space="preserve">upgrading constitutionalism to a militant form should embrace entrenchment clauses crucial for preserving liberal democracy, proportional electoral system, safeguards against direct democracy, strict criteria to ensure judicial independence, safeguards against corruption in public administration and </w:t>
      </w:r>
      <w:r w:rsidR="00391536">
        <w:rPr>
          <w:color w:val="0E101A"/>
          <w:lang w:val="en-US"/>
        </w:rPr>
        <w:t xml:space="preserve">against </w:t>
      </w:r>
      <w:r w:rsidRPr="007F5F86">
        <w:rPr>
          <w:color w:val="0E101A"/>
          <w:lang w:val="en-US"/>
        </w:rPr>
        <w:t>abuse of emergency powers, to name some of them.</w:t>
      </w:r>
      <w:r w:rsidR="00AC2EBE">
        <w:rPr>
          <w:rStyle w:val="FootnoteReference"/>
          <w:color w:val="0E101A"/>
          <w:lang w:val="en-US"/>
        </w:rPr>
        <w:footnoteReference w:id="87"/>
      </w:r>
    </w:p>
    <w:p w14:paraId="2DFD9A47" w14:textId="455CF1BE" w:rsidR="00C466A9" w:rsidRDefault="007F5F86" w:rsidP="00C466A9">
      <w:pPr>
        <w:autoSpaceDE w:val="0"/>
        <w:autoSpaceDN w:val="0"/>
        <w:adjustRightInd w:val="0"/>
        <w:spacing w:line="360" w:lineRule="auto"/>
        <w:ind w:firstLine="720"/>
        <w:jc w:val="both"/>
        <w:rPr>
          <w:shd w:val="clear" w:color="auto" w:fill="FFFFFF"/>
          <w:lang w:val="en-US"/>
        </w:rPr>
      </w:pPr>
      <w:r w:rsidRPr="007F5F86">
        <w:rPr>
          <w:shd w:val="clear" w:color="auto" w:fill="FFFFFF"/>
          <w:lang w:val="en-US"/>
        </w:rPr>
        <w:t xml:space="preserve">But this does not mean that militant democracy, which differs from militant constitutionalism, is a redundant concept in confronting populism.  First, populism feeds extremism, so classic militant democracy measures, like restrictions of associational rights to exclude additional anti-democratic </w:t>
      </w:r>
      <w:r w:rsidR="00BD29CA">
        <w:rPr>
          <w:shd w:val="clear" w:color="auto" w:fill="FFFFFF"/>
          <w:lang w:val="en-US"/>
        </w:rPr>
        <w:t xml:space="preserve">actors </w:t>
      </w:r>
      <w:r w:rsidRPr="007F5F86">
        <w:rPr>
          <w:shd w:val="clear" w:color="auto" w:fill="FFFFFF"/>
          <w:lang w:val="en-US"/>
        </w:rPr>
        <w:t xml:space="preserve">from the political arena either before populists come to power or once they assume it, could help democratic self-defense. A good example is the ban and dissolution of the Hungarian Guard </w:t>
      </w:r>
      <w:r w:rsidR="00B930C4">
        <w:rPr>
          <w:shd w:val="clear" w:color="auto" w:fill="FFFFFF"/>
          <w:lang w:val="en-US"/>
        </w:rPr>
        <w:t xml:space="preserve">Association and </w:t>
      </w:r>
      <w:r w:rsidR="00B930C4" w:rsidRPr="007F5F86">
        <w:rPr>
          <w:shd w:val="clear" w:color="auto" w:fill="FFFFFF"/>
          <w:lang w:val="en-US"/>
        </w:rPr>
        <w:t xml:space="preserve">Hungarian Guard </w:t>
      </w:r>
      <w:r w:rsidR="00B930C4">
        <w:rPr>
          <w:shd w:val="clear" w:color="auto" w:fill="FFFFFF"/>
          <w:lang w:val="en-US"/>
        </w:rPr>
        <w:t xml:space="preserve">Movement established by the Association, </w:t>
      </w:r>
      <w:r w:rsidRPr="007F5F86">
        <w:rPr>
          <w:shd w:val="clear" w:color="auto" w:fill="FFFFFF"/>
          <w:lang w:val="en-US"/>
        </w:rPr>
        <w:t>whose activities targeted Roma population. The ban was imposed by the Hungarian national courts, right at the time when populists were to assume power in Hungary.</w:t>
      </w:r>
      <w:r w:rsidR="00AC2EBE">
        <w:rPr>
          <w:rStyle w:val="FootnoteReference"/>
          <w:shd w:val="clear" w:color="auto" w:fill="FFFFFF"/>
          <w:lang w:val="en-US"/>
        </w:rPr>
        <w:footnoteReference w:id="88"/>
      </w:r>
      <w:r w:rsidR="00BD29CA">
        <w:rPr>
          <w:shd w:val="clear" w:color="auto" w:fill="FFFFFF"/>
          <w:lang w:val="en-US"/>
        </w:rPr>
        <w:t xml:space="preserve"> Soon after, it was</w:t>
      </w:r>
      <w:r w:rsidR="00BD29CA" w:rsidRPr="007F5F86">
        <w:rPr>
          <w:shd w:val="clear" w:color="auto" w:fill="FFFFFF"/>
          <w:lang w:val="en-US"/>
        </w:rPr>
        <w:t xml:space="preserve"> upheld by the ECtHR</w:t>
      </w:r>
      <w:r w:rsidR="00BD29CA">
        <w:rPr>
          <w:shd w:val="clear" w:color="auto" w:fill="FFFFFF"/>
          <w:lang w:val="en-US"/>
        </w:rPr>
        <w:t>.</w:t>
      </w:r>
      <w:r w:rsidR="00BD29CA" w:rsidRPr="007F5F86">
        <w:rPr>
          <w:shd w:val="clear" w:color="auto" w:fill="FFFFFF"/>
          <w:lang w:val="en-US"/>
        </w:rPr>
        <w:t xml:space="preserve"> </w:t>
      </w:r>
      <w:r w:rsidRPr="007F5F86">
        <w:rPr>
          <w:shd w:val="clear" w:color="auto" w:fill="FFFFFF"/>
          <w:lang w:val="en-US"/>
        </w:rPr>
        <w:t xml:space="preserve">In considering the ban, the </w:t>
      </w:r>
      <w:r w:rsidRPr="007F5F86">
        <w:rPr>
          <w:shd w:val="clear" w:color="auto" w:fill="FFFFFF"/>
          <w:lang w:val="en-US"/>
        </w:rPr>
        <w:lastRenderedPageBreak/>
        <w:t xml:space="preserve">ECtHR emphasized that the activities of the Hungarian Guard </w:t>
      </w:r>
      <w:r w:rsidR="00B930C4">
        <w:rPr>
          <w:shd w:val="clear" w:color="auto" w:fill="FFFFFF"/>
          <w:lang w:val="en-US"/>
        </w:rPr>
        <w:t xml:space="preserve">Association </w:t>
      </w:r>
      <w:r w:rsidRPr="007F5F86">
        <w:rPr>
          <w:shd w:val="clear" w:color="auto" w:fill="FFFFFF"/>
          <w:lang w:val="en-US"/>
        </w:rPr>
        <w:t>can be regarded as implementing a policy of racial segregation and can be seen as constituting the first steps in the realization of a certain vision of “law and order” which is racist in essence.</w:t>
      </w:r>
      <w:r w:rsidR="00AC2EBE">
        <w:rPr>
          <w:rStyle w:val="FootnoteReference"/>
          <w:shd w:val="clear" w:color="auto" w:fill="FFFFFF"/>
          <w:lang w:val="en-US"/>
        </w:rPr>
        <w:footnoteReference w:id="89"/>
      </w:r>
      <w:r w:rsidRPr="007F5F86">
        <w:rPr>
          <w:shd w:val="clear" w:color="auto" w:fill="FFFFFF"/>
          <w:lang w:val="en-US"/>
        </w:rPr>
        <w:t xml:space="preserve"> Had the authorities omitted to impose the ban, “the general public might have perceived this as legitimization by the State of this menace, concluded the Court.”</w:t>
      </w:r>
      <w:r w:rsidR="00737092">
        <w:rPr>
          <w:rStyle w:val="FootnoteReference"/>
          <w:shd w:val="clear" w:color="auto" w:fill="FFFFFF"/>
          <w:lang w:val="en-US"/>
        </w:rPr>
        <w:footnoteReference w:id="90"/>
      </w:r>
      <w:r w:rsidRPr="007F5F86">
        <w:rPr>
          <w:shd w:val="clear" w:color="auto" w:fill="FFFFFF"/>
          <w:lang w:val="en-US"/>
        </w:rPr>
        <w:t xml:space="preserve"> In other words, “this would have enabled the Association, benefiting from the prerogatives of a legally registered entity, to continue to support the Movement, and the State would thereby have indirectly facilitated the orchestration of its campaign of rallies.”</w:t>
      </w:r>
      <w:r w:rsidR="00AC2EBE">
        <w:rPr>
          <w:rStyle w:val="FootnoteReference"/>
          <w:shd w:val="clear" w:color="auto" w:fill="FFFFFF"/>
          <w:lang w:val="en-US"/>
        </w:rPr>
        <w:footnoteReference w:id="91"/>
      </w:r>
      <w:r w:rsidRPr="007F5F86">
        <w:rPr>
          <w:shd w:val="clear" w:color="auto" w:fill="FFFFFF"/>
          <w:lang w:val="en-US"/>
        </w:rPr>
        <w:t xml:space="preserve"> </w:t>
      </w:r>
      <w:r w:rsidR="00D81FC5" w:rsidRPr="00D81FC5">
        <w:rPr>
          <w:shd w:val="clear" w:color="auto" w:fill="FFFFFF"/>
          <w:lang w:val="en-US"/>
        </w:rPr>
        <w:t xml:space="preserve">Accordingly, militant democracy prevents tacit (not to mention open) collaboration between populist rulers and extremists and helps exclude anti-democratic actors from the political arena in circumstances where democracy is already </w:t>
      </w:r>
      <w:r w:rsidR="00911BB7">
        <w:rPr>
          <w:shd w:val="clear" w:color="auto" w:fill="FFFFFF"/>
          <w:lang w:val="en-US"/>
        </w:rPr>
        <w:t>partly</w:t>
      </w:r>
      <w:r w:rsidR="00D81FC5" w:rsidRPr="00D81FC5">
        <w:rPr>
          <w:shd w:val="clear" w:color="auto" w:fill="FFFFFF"/>
          <w:lang w:val="en-US"/>
        </w:rPr>
        <w:t xml:space="preserve"> destroyed.  </w:t>
      </w:r>
    </w:p>
    <w:p w14:paraId="44F6A28A" w14:textId="5DC9A352" w:rsidR="00D948FC" w:rsidRDefault="00A20EE6" w:rsidP="00C466A9">
      <w:pPr>
        <w:autoSpaceDE w:val="0"/>
        <w:autoSpaceDN w:val="0"/>
        <w:adjustRightInd w:val="0"/>
        <w:spacing w:line="360" w:lineRule="auto"/>
        <w:ind w:firstLine="720"/>
        <w:jc w:val="both"/>
        <w:rPr>
          <w:shd w:val="clear" w:color="auto" w:fill="FFFFFF"/>
          <w:lang w:val="en-US"/>
        </w:rPr>
      </w:pPr>
      <w:r w:rsidRPr="00A20EE6">
        <w:rPr>
          <w:lang w:val="en-US"/>
        </w:rPr>
        <w:t xml:space="preserve">Second, transnational militant democracy may prove successful in saving national democracies from the populists’ </w:t>
      </w:r>
      <w:r w:rsidR="00137825">
        <w:rPr>
          <w:lang w:val="en-US"/>
        </w:rPr>
        <w:t>grip</w:t>
      </w:r>
      <w:r w:rsidRPr="00A20EE6">
        <w:rPr>
          <w:lang w:val="en-US"/>
        </w:rPr>
        <w:t>. As ruling populists in Hungary and Poland managed to dismantle constitutional self-defense mechanisms, the European Union had intervened</w:t>
      </w:r>
      <w:r w:rsidR="00863F3F">
        <w:rPr>
          <w:lang w:val="en-US"/>
        </w:rPr>
        <w:t>,</w:t>
      </w:r>
      <w:r w:rsidRPr="00A20EE6">
        <w:rPr>
          <w:lang w:val="en-US"/>
        </w:rPr>
        <w:t xml:space="preserve"> and </w:t>
      </w:r>
      <w:r w:rsidR="00391536">
        <w:rPr>
          <w:lang w:val="en-US"/>
        </w:rPr>
        <w:t xml:space="preserve">as mentioned earlier, it </w:t>
      </w:r>
      <w:r w:rsidRPr="00A20EE6">
        <w:rPr>
          <w:lang w:val="en-US"/>
        </w:rPr>
        <w:t>activated a transnational militant democracy mechanism to sanction Poland in 2017 and Hungary in 2018. The proceedings under Article 7 TEU are still pending and could end up in the suspension of the rights deriving from the application of the Treaties to</w:t>
      </w:r>
      <w:r w:rsidR="006A0DFA">
        <w:rPr>
          <w:lang w:val="en-US"/>
        </w:rPr>
        <w:t xml:space="preserve"> Hungary and Poland</w:t>
      </w:r>
      <w:r w:rsidRPr="00A20EE6">
        <w:rPr>
          <w:lang w:val="en-US"/>
        </w:rPr>
        <w:t>, including their voting rights in the Council and the rights derived from secondary EU law. But equally important is the CJEU’s militant stance against Poland in court-packing cases - it indicates how judicial avenues may also help prevent the Member States from reducing democracy only to the election of leaders</w:t>
      </w:r>
      <w:r w:rsidR="00C466A9" w:rsidRPr="00CC6B9A">
        <w:rPr>
          <w:lang w:val="en-US"/>
        </w:rPr>
        <w:t>.</w:t>
      </w:r>
      <w:r w:rsidR="00D04940">
        <w:rPr>
          <w:rStyle w:val="FootnoteReference"/>
          <w:lang w:val="en-US"/>
        </w:rPr>
        <w:footnoteReference w:id="92"/>
      </w:r>
    </w:p>
    <w:p w14:paraId="5246C5C4" w14:textId="5004EDC3" w:rsidR="001E7ADB" w:rsidRDefault="00D948FC" w:rsidP="005C425C">
      <w:pPr>
        <w:autoSpaceDE w:val="0"/>
        <w:autoSpaceDN w:val="0"/>
        <w:adjustRightInd w:val="0"/>
        <w:spacing w:line="360" w:lineRule="auto"/>
        <w:ind w:firstLine="720"/>
        <w:jc w:val="both"/>
        <w:rPr>
          <w:rFonts w:eastAsiaTheme="minorHAnsi"/>
          <w:lang w:val="en-US" w:eastAsia="en-US"/>
        </w:rPr>
      </w:pPr>
      <w:r>
        <w:rPr>
          <w:shd w:val="clear" w:color="auto" w:fill="FFFFFF"/>
          <w:lang w:val="en-US"/>
        </w:rPr>
        <w:t>Finally</w:t>
      </w:r>
      <w:r w:rsidR="006217FD">
        <w:rPr>
          <w:shd w:val="clear" w:color="auto" w:fill="FFFFFF"/>
          <w:lang w:val="en-US"/>
        </w:rPr>
        <w:t>, carefully selected</w:t>
      </w:r>
      <w:r w:rsidR="00BC33FA">
        <w:rPr>
          <w:shd w:val="clear" w:color="auto" w:fill="FFFFFF"/>
          <w:lang w:val="en-US"/>
        </w:rPr>
        <w:t xml:space="preserve">, </w:t>
      </w:r>
      <w:r w:rsidR="00F66821">
        <w:rPr>
          <w:shd w:val="clear" w:color="auto" w:fill="FFFFFF"/>
          <w:lang w:val="en-US"/>
        </w:rPr>
        <w:t>what Muller calls ‘</w:t>
      </w:r>
      <w:r w:rsidR="006A3BDA">
        <w:rPr>
          <w:shd w:val="clear" w:color="auto" w:fill="FFFFFF"/>
          <w:lang w:val="en-US"/>
        </w:rPr>
        <w:t xml:space="preserve">individual </w:t>
      </w:r>
      <w:r w:rsidR="006217FD">
        <w:rPr>
          <w:shd w:val="clear" w:color="auto" w:fill="FFFFFF"/>
          <w:lang w:val="en-US"/>
        </w:rPr>
        <w:t>militant democracy</w:t>
      </w:r>
      <w:r w:rsidR="00F66821">
        <w:rPr>
          <w:shd w:val="clear" w:color="auto" w:fill="FFFFFF"/>
          <w:lang w:val="en-US"/>
        </w:rPr>
        <w:t xml:space="preserve">’ </w:t>
      </w:r>
      <w:r w:rsidR="006217FD">
        <w:rPr>
          <w:shd w:val="clear" w:color="auto" w:fill="FFFFFF"/>
          <w:lang w:val="en-US"/>
        </w:rPr>
        <w:t>measures</w:t>
      </w:r>
      <w:r w:rsidR="006A3BDA">
        <w:rPr>
          <w:shd w:val="clear" w:color="auto" w:fill="FFFFFF"/>
          <w:lang w:val="en-US"/>
        </w:rPr>
        <w:t>,</w:t>
      </w:r>
      <w:r w:rsidR="001102CD">
        <w:rPr>
          <w:shd w:val="clear" w:color="auto" w:fill="FFFFFF"/>
          <w:lang w:val="en-US"/>
        </w:rPr>
        <w:t xml:space="preserve"> including </w:t>
      </w:r>
      <w:r w:rsidR="006A3BDA">
        <w:rPr>
          <w:shd w:val="clear" w:color="auto" w:fill="FFFFFF"/>
          <w:lang w:val="en-US"/>
        </w:rPr>
        <w:t xml:space="preserve">a </w:t>
      </w:r>
      <w:r w:rsidR="001102CD">
        <w:rPr>
          <w:shd w:val="clear" w:color="auto" w:fill="FFFFFF"/>
          <w:lang w:val="en-US"/>
        </w:rPr>
        <w:t xml:space="preserve">partial and provisional restriction of electoral rights, some forms of impeachment, or individual resistance to democratic backsliding </w:t>
      </w:r>
      <w:r w:rsidR="00F66821">
        <w:rPr>
          <w:shd w:val="clear" w:color="auto" w:fill="FFFFFF"/>
          <w:lang w:val="en-US"/>
        </w:rPr>
        <w:t xml:space="preserve">on the ground of </w:t>
      </w:r>
      <w:r w:rsidR="00A520FC">
        <w:rPr>
          <w:shd w:val="clear" w:color="auto" w:fill="FFFFFF"/>
          <w:lang w:val="en-US"/>
        </w:rPr>
        <w:t>the</w:t>
      </w:r>
      <w:r w:rsidR="001102CD">
        <w:rPr>
          <w:shd w:val="clear" w:color="auto" w:fill="FFFFFF"/>
          <w:lang w:val="en-US"/>
        </w:rPr>
        <w:t xml:space="preserve"> right to resistance, </w:t>
      </w:r>
      <w:r w:rsidR="001102CD" w:rsidRPr="004033B1">
        <w:rPr>
          <w:rFonts w:eastAsiaTheme="minorHAnsi"/>
          <w:lang w:val="en-US" w:eastAsia="en-US"/>
        </w:rPr>
        <w:t xml:space="preserve">could </w:t>
      </w:r>
      <w:r w:rsidR="006A3BDA">
        <w:rPr>
          <w:rFonts w:eastAsiaTheme="minorHAnsi"/>
          <w:lang w:val="en-US" w:eastAsia="en-US"/>
        </w:rPr>
        <w:t xml:space="preserve">also help in </w:t>
      </w:r>
      <w:r w:rsidR="001102CD" w:rsidRPr="004033B1">
        <w:rPr>
          <w:rFonts w:eastAsiaTheme="minorHAnsi"/>
          <w:lang w:val="en-US" w:eastAsia="en-US"/>
        </w:rPr>
        <w:t>sa</w:t>
      </w:r>
      <w:r w:rsidR="006A3BDA">
        <w:rPr>
          <w:rFonts w:eastAsiaTheme="minorHAnsi"/>
          <w:lang w:val="en-US" w:eastAsia="en-US"/>
        </w:rPr>
        <w:t>ving</w:t>
      </w:r>
      <w:r w:rsidR="001102CD" w:rsidRPr="004033B1">
        <w:rPr>
          <w:rFonts w:eastAsiaTheme="minorHAnsi"/>
          <w:lang w:val="en-US" w:eastAsia="en-US"/>
        </w:rPr>
        <w:t xml:space="preserve"> democracy from dying</w:t>
      </w:r>
      <w:r w:rsidR="001102CD">
        <w:rPr>
          <w:rFonts w:eastAsiaTheme="minorHAnsi"/>
          <w:lang w:val="en-US" w:eastAsia="en-US"/>
        </w:rPr>
        <w:t>.</w:t>
      </w:r>
      <w:r w:rsidR="00AC2EBE">
        <w:rPr>
          <w:rStyle w:val="FootnoteReference"/>
          <w:rFonts w:eastAsiaTheme="minorHAnsi"/>
          <w:lang w:val="en-US" w:eastAsia="en-US"/>
        </w:rPr>
        <w:footnoteReference w:id="93"/>
      </w:r>
      <w:r w:rsidR="001102CD">
        <w:rPr>
          <w:rFonts w:eastAsiaTheme="minorHAnsi"/>
          <w:lang w:val="en-US" w:eastAsia="en-US"/>
        </w:rPr>
        <w:t xml:space="preserve"> </w:t>
      </w:r>
      <w:r w:rsidR="00827EB5">
        <w:rPr>
          <w:rFonts w:eastAsiaTheme="minorHAnsi"/>
          <w:lang w:val="en-US" w:eastAsia="en-US"/>
        </w:rPr>
        <w:t xml:space="preserve">I am not saying that this is not a risky course for the very democracy, but how risky and </w:t>
      </w:r>
      <w:r w:rsidR="00D9761B">
        <w:rPr>
          <w:rFonts w:eastAsiaTheme="minorHAnsi"/>
          <w:lang w:val="en-US" w:eastAsia="en-US"/>
        </w:rPr>
        <w:t xml:space="preserve">whether </w:t>
      </w:r>
      <w:r w:rsidR="00D81FC5">
        <w:rPr>
          <w:rFonts w:eastAsiaTheme="minorHAnsi"/>
          <w:lang w:val="en-US" w:eastAsia="en-US"/>
        </w:rPr>
        <w:t xml:space="preserve">the risk </w:t>
      </w:r>
      <w:r w:rsidR="00137825">
        <w:rPr>
          <w:rFonts w:eastAsiaTheme="minorHAnsi"/>
          <w:lang w:val="en-US" w:eastAsia="en-US"/>
        </w:rPr>
        <w:t xml:space="preserve">could </w:t>
      </w:r>
      <w:r w:rsidR="00827EB5">
        <w:rPr>
          <w:rFonts w:eastAsiaTheme="minorHAnsi"/>
          <w:lang w:val="en-US" w:eastAsia="en-US"/>
        </w:rPr>
        <w:t xml:space="preserve">be </w:t>
      </w:r>
      <w:r w:rsidR="00D81FC5">
        <w:rPr>
          <w:rFonts w:eastAsiaTheme="minorHAnsi"/>
          <w:lang w:val="en-US" w:eastAsia="en-US"/>
        </w:rPr>
        <w:t xml:space="preserve">controlled </w:t>
      </w:r>
      <w:r w:rsidR="00827EB5">
        <w:rPr>
          <w:rFonts w:eastAsiaTheme="minorHAnsi"/>
          <w:lang w:val="en-US" w:eastAsia="en-US"/>
        </w:rPr>
        <w:t>is already a subject for a different discussion</w:t>
      </w:r>
      <w:r w:rsidR="00F25158">
        <w:rPr>
          <w:rFonts w:eastAsiaTheme="minorHAnsi"/>
          <w:lang w:val="en-US" w:eastAsia="en-US"/>
        </w:rPr>
        <w:t>.</w:t>
      </w:r>
      <w:r w:rsidR="00EA0637">
        <w:rPr>
          <w:rFonts w:eastAsiaTheme="minorHAnsi"/>
          <w:lang w:val="en-US" w:eastAsia="en-US"/>
        </w:rPr>
        <w:t xml:space="preserve"> </w:t>
      </w:r>
    </w:p>
    <w:p w14:paraId="2E4B013E" w14:textId="375FC11C" w:rsidR="00930143" w:rsidRPr="00586838" w:rsidRDefault="00930143" w:rsidP="00586838">
      <w:pPr>
        <w:rPr>
          <w:color w:val="0E101A"/>
          <w:lang w:val="en-US"/>
        </w:rPr>
      </w:pPr>
      <w:r>
        <w:rPr>
          <w:rStyle w:val="Emphasis"/>
          <w:i w:val="0"/>
          <w:iCs w:val="0"/>
          <w:color w:val="0E101A"/>
          <w:lang w:val="en-US"/>
        </w:rPr>
        <w:br w:type="page"/>
      </w:r>
    </w:p>
    <w:p w14:paraId="0E7B68A4" w14:textId="77777777" w:rsidR="00930143" w:rsidRPr="00930143" w:rsidRDefault="00930143" w:rsidP="00930143">
      <w:pPr>
        <w:autoSpaceDE w:val="0"/>
        <w:autoSpaceDN w:val="0"/>
        <w:adjustRightInd w:val="0"/>
        <w:jc w:val="both"/>
        <w:rPr>
          <w:b/>
          <w:bCs/>
          <w:color w:val="000000"/>
          <w:lang w:val="en-US"/>
        </w:rPr>
      </w:pPr>
      <w:r w:rsidRPr="00930143">
        <w:rPr>
          <w:b/>
          <w:bCs/>
          <w:color w:val="000000"/>
          <w:lang w:val="en-US"/>
        </w:rPr>
        <w:lastRenderedPageBreak/>
        <w:t xml:space="preserve">BIBLIOGRAPHY </w:t>
      </w:r>
    </w:p>
    <w:p w14:paraId="2F6A0923" w14:textId="77777777" w:rsidR="00930143" w:rsidRPr="00D822C6" w:rsidRDefault="00930143" w:rsidP="00930143">
      <w:pPr>
        <w:keepLines/>
        <w:jc w:val="both"/>
        <w:rPr>
          <w:lang w:val="en-US"/>
        </w:rPr>
      </w:pPr>
    </w:p>
    <w:p w14:paraId="56EF0781" w14:textId="1B3A9326" w:rsidR="00930143" w:rsidRDefault="00930143" w:rsidP="00930143">
      <w:pPr>
        <w:jc w:val="both"/>
        <w:rPr>
          <w:shd w:val="clear" w:color="auto" w:fill="FFFFFF"/>
        </w:rPr>
      </w:pPr>
      <w:r w:rsidRPr="002869A3">
        <w:rPr>
          <w:shd w:val="clear" w:color="auto" w:fill="FFFFFF"/>
        </w:rPr>
        <w:t xml:space="preserve">Asma </w:t>
      </w:r>
      <w:proofErr w:type="spellStart"/>
      <w:r w:rsidRPr="002869A3">
        <w:rPr>
          <w:shd w:val="clear" w:color="auto" w:fill="FFFFFF"/>
        </w:rPr>
        <w:t>Bougnaoui</w:t>
      </w:r>
      <w:proofErr w:type="spellEnd"/>
      <w:r w:rsidRPr="002869A3">
        <w:rPr>
          <w:shd w:val="clear" w:color="auto" w:fill="FFFFFF"/>
        </w:rPr>
        <w:t xml:space="preserve"> and Association de </w:t>
      </w:r>
      <w:proofErr w:type="spellStart"/>
      <w:r w:rsidRPr="002869A3">
        <w:rPr>
          <w:shd w:val="clear" w:color="auto" w:fill="FFFFFF"/>
        </w:rPr>
        <w:t>défense</w:t>
      </w:r>
      <w:proofErr w:type="spellEnd"/>
      <w:r w:rsidRPr="002869A3">
        <w:rPr>
          <w:shd w:val="clear" w:color="auto" w:fill="FFFFFF"/>
        </w:rPr>
        <w:t xml:space="preserve"> des droits de </w:t>
      </w:r>
      <w:proofErr w:type="spellStart"/>
      <w:r w:rsidRPr="002869A3">
        <w:rPr>
          <w:shd w:val="clear" w:color="auto" w:fill="FFFFFF"/>
        </w:rPr>
        <w:t>l’homme</w:t>
      </w:r>
      <w:proofErr w:type="spellEnd"/>
      <w:r w:rsidRPr="002869A3">
        <w:rPr>
          <w:shd w:val="clear" w:color="auto" w:fill="FFFFFF"/>
        </w:rPr>
        <w:t xml:space="preserve"> (ADDH) v</w:t>
      </w:r>
      <w:r w:rsidRPr="002869A3">
        <w:rPr>
          <w:shd w:val="clear" w:color="auto" w:fill="FFFFFF"/>
          <w:lang w:val="en-US"/>
        </w:rPr>
        <w:t>.</w:t>
      </w:r>
      <w:r w:rsidRPr="002869A3">
        <w:rPr>
          <w:shd w:val="clear" w:color="auto" w:fill="FFFFFF"/>
        </w:rPr>
        <w:t xml:space="preserve"> </w:t>
      </w:r>
      <w:proofErr w:type="spellStart"/>
      <w:r w:rsidRPr="002869A3">
        <w:rPr>
          <w:shd w:val="clear" w:color="auto" w:fill="FFFFFF"/>
        </w:rPr>
        <w:t>Micropole</w:t>
      </w:r>
      <w:proofErr w:type="spellEnd"/>
      <w:r w:rsidRPr="002869A3">
        <w:rPr>
          <w:shd w:val="clear" w:color="auto" w:fill="FFFFFF"/>
        </w:rPr>
        <w:t xml:space="preserve"> SA</w:t>
      </w:r>
      <w:r w:rsidRPr="002869A3">
        <w:rPr>
          <w:shd w:val="clear" w:color="auto" w:fill="FFFFFF"/>
          <w:lang w:val="en-US"/>
        </w:rPr>
        <w:t>,</w:t>
      </w:r>
      <w:r w:rsidRPr="00D822C6">
        <w:rPr>
          <w:shd w:val="clear" w:color="auto" w:fill="FFFFFF"/>
        </w:rPr>
        <w:t xml:space="preserve"> </w:t>
      </w:r>
      <w:r w:rsidRPr="00D822C6">
        <w:rPr>
          <w:lang w:val="en-US"/>
        </w:rPr>
        <w:t>C</w:t>
      </w:r>
      <w:proofErr w:type="spellStart"/>
      <w:r w:rsidRPr="00D822C6">
        <w:t>ase</w:t>
      </w:r>
      <w:proofErr w:type="spellEnd"/>
      <w:r w:rsidRPr="00D822C6">
        <w:t xml:space="preserve"> C-188/15, </w:t>
      </w:r>
      <w:r w:rsidRPr="00D822C6">
        <w:rPr>
          <w:shd w:val="clear" w:color="auto" w:fill="FFFFFF"/>
        </w:rPr>
        <w:t>ECLI:EU:C:2017:204.</w:t>
      </w:r>
    </w:p>
    <w:p w14:paraId="312BE53C" w14:textId="77777777" w:rsidR="00930143" w:rsidRPr="00930143" w:rsidRDefault="00930143" w:rsidP="00930143">
      <w:pPr>
        <w:jc w:val="both"/>
      </w:pPr>
    </w:p>
    <w:p w14:paraId="2AFFB6DB" w14:textId="77777777" w:rsidR="00930143" w:rsidRPr="00D822C6" w:rsidRDefault="00930143" w:rsidP="00930143">
      <w:pPr>
        <w:pStyle w:val="FootnoteText"/>
        <w:jc w:val="both"/>
        <w:rPr>
          <w:sz w:val="24"/>
          <w:szCs w:val="24"/>
        </w:rPr>
      </w:pPr>
      <w:proofErr w:type="spellStart"/>
      <w:r w:rsidRPr="002869A3">
        <w:rPr>
          <w:sz w:val="24"/>
          <w:szCs w:val="24"/>
        </w:rPr>
        <w:t>Belcacemi</w:t>
      </w:r>
      <w:proofErr w:type="spellEnd"/>
      <w:r w:rsidRPr="002869A3">
        <w:rPr>
          <w:sz w:val="24"/>
          <w:szCs w:val="24"/>
        </w:rPr>
        <w:t xml:space="preserve"> et </w:t>
      </w:r>
      <w:proofErr w:type="spellStart"/>
      <w:r w:rsidRPr="002869A3">
        <w:rPr>
          <w:sz w:val="24"/>
          <w:szCs w:val="24"/>
        </w:rPr>
        <w:t>Oussar</w:t>
      </w:r>
      <w:proofErr w:type="spellEnd"/>
      <w:r w:rsidRPr="002869A3">
        <w:rPr>
          <w:sz w:val="24"/>
          <w:szCs w:val="24"/>
        </w:rPr>
        <w:t xml:space="preserve"> v. Belgium</w:t>
      </w:r>
      <w:r w:rsidRPr="00D822C6">
        <w:rPr>
          <w:sz w:val="24"/>
          <w:szCs w:val="24"/>
        </w:rPr>
        <w:t>, App. no. 37798/13, Judgment of 11 July 2017.</w:t>
      </w:r>
    </w:p>
    <w:p w14:paraId="2F16C4FA" w14:textId="77777777" w:rsidR="00930143" w:rsidRPr="00D822C6" w:rsidRDefault="00930143" w:rsidP="00930143">
      <w:pPr>
        <w:autoSpaceDE w:val="0"/>
        <w:autoSpaceDN w:val="0"/>
        <w:adjustRightInd w:val="0"/>
        <w:jc w:val="both"/>
        <w:rPr>
          <w:rFonts w:eastAsiaTheme="minorHAnsi"/>
          <w:lang w:eastAsia="en-US"/>
        </w:rPr>
      </w:pPr>
    </w:p>
    <w:p w14:paraId="178F875C" w14:textId="77777777" w:rsidR="00930143" w:rsidRPr="00D822C6" w:rsidRDefault="00930143" w:rsidP="00930143">
      <w:pPr>
        <w:autoSpaceDE w:val="0"/>
        <w:autoSpaceDN w:val="0"/>
        <w:adjustRightInd w:val="0"/>
        <w:jc w:val="both"/>
        <w:rPr>
          <w:rFonts w:eastAsiaTheme="minorHAnsi"/>
          <w:lang w:eastAsia="en-US"/>
        </w:rPr>
      </w:pPr>
      <w:r w:rsidRPr="00D822C6">
        <w:rPr>
          <w:rFonts w:eastAsiaTheme="minorHAnsi"/>
          <w:lang w:eastAsia="en-US"/>
        </w:rPr>
        <w:t xml:space="preserve">Berlin, I., </w:t>
      </w:r>
      <w:r w:rsidRPr="00D822C6">
        <w:rPr>
          <w:rFonts w:eastAsiaTheme="minorHAnsi"/>
          <w:i/>
          <w:iCs/>
          <w:lang w:eastAsia="en-US"/>
        </w:rPr>
        <w:t>To Define Populism</w:t>
      </w:r>
      <w:r w:rsidRPr="00D822C6">
        <w:rPr>
          <w:rFonts w:eastAsiaTheme="minorHAnsi"/>
          <w:lang w:eastAsia="en-US"/>
        </w:rPr>
        <w:t>, http://berlin.wolf.ox.ac.uk/lists/bibliography/bib111bLSE.pdf (28 June 2021).</w:t>
      </w:r>
    </w:p>
    <w:p w14:paraId="78489468" w14:textId="77777777" w:rsidR="00930143" w:rsidRPr="00D822C6" w:rsidRDefault="00930143" w:rsidP="00930143">
      <w:pPr>
        <w:keepLines/>
        <w:jc w:val="both"/>
        <w:rPr>
          <w:lang w:val="en-US"/>
        </w:rPr>
      </w:pPr>
    </w:p>
    <w:p w14:paraId="13725EA2" w14:textId="77777777" w:rsidR="00930143" w:rsidRPr="00D822C6" w:rsidRDefault="00930143" w:rsidP="00930143">
      <w:pPr>
        <w:jc w:val="both"/>
        <w:rPr>
          <w:lang w:val="en-US"/>
        </w:rPr>
      </w:pPr>
      <w:r w:rsidRPr="00D822C6">
        <w:rPr>
          <w:lang w:val="en-US"/>
        </w:rPr>
        <w:t xml:space="preserve">Beširević, V., </w:t>
      </w:r>
      <w:r w:rsidRPr="00D822C6">
        <w:rPr>
          <w:i/>
          <w:iCs/>
          <w:color w:val="000000"/>
          <w:bdr w:val="none" w:sz="0" w:space="0" w:color="auto" w:frame="1"/>
          <w:lang w:val="en-US"/>
        </w:rPr>
        <w:t>Thinking Outside the Politics Box: Framing a Judicial Role in Shaping Militant Democracy in the European Union</w:t>
      </w:r>
      <w:r w:rsidRPr="00D822C6">
        <w:rPr>
          <w:color w:val="000000"/>
          <w:bdr w:val="none" w:sz="0" w:space="0" w:color="auto" w:frame="1"/>
          <w:lang w:val="en-US"/>
        </w:rPr>
        <w:t xml:space="preserve">, in: </w:t>
      </w:r>
      <w:proofErr w:type="spellStart"/>
      <w:r w:rsidRPr="00D822C6">
        <w:rPr>
          <w:color w:val="000000"/>
          <w:bdr w:val="none" w:sz="0" w:space="0" w:color="auto" w:frame="1"/>
          <w:lang w:val="en-US"/>
        </w:rPr>
        <w:t>Belov</w:t>
      </w:r>
      <w:proofErr w:type="spellEnd"/>
      <w:r w:rsidRPr="00D822C6">
        <w:rPr>
          <w:color w:val="000000"/>
          <w:bdr w:val="none" w:sz="0" w:space="0" w:color="auto" w:frame="1"/>
          <w:lang w:val="en-US"/>
        </w:rPr>
        <w:t>, M., (ed.),</w:t>
      </w:r>
      <w:r w:rsidRPr="00D822C6">
        <w:rPr>
          <w:color w:val="26282A"/>
          <w:bdr w:val="none" w:sz="0" w:space="0" w:color="auto" w:frame="1"/>
          <w:lang w:val="en-US"/>
        </w:rPr>
        <w:t>  </w:t>
      </w:r>
      <w:r w:rsidRPr="00D822C6">
        <w:rPr>
          <w:i/>
          <w:iCs/>
          <w:color w:val="26282A"/>
          <w:bdr w:val="none" w:sz="0" w:space="0" w:color="auto" w:frame="1"/>
          <w:lang w:val="en-US"/>
        </w:rPr>
        <w:t>Courts and Judicial Activism under Crisis Conditions: Policy Making in a Time of Illiberalism and Emergency Constitutionalism, </w:t>
      </w:r>
      <w:r w:rsidRPr="00D822C6">
        <w:rPr>
          <w:color w:val="26282A"/>
          <w:bdr w:val="none" w:sz="0" w:space="0" w:color="auto" w:frame="1"/>
          <w:lang w:val="en-US"/>
        </w:rPr>
        <w:t xml:space="preserve">Routledge, 2021, pp.74-98. </w:t>
      </w:r>
    </w:p>
    <w:p w14:paraId="25A52247" w14:textId="77777777" w:rsidR="00930143" w:rsidRPr="00D822C6" w:rsidRDefault="00930143" w:rsidP="00930143">
      <w:pPr>
        <w:keepLines/>
        <w:jc w:val="both"/>
        <w:rPr>
          <w:lang w:val="en-US"/>
        </w:rPr>
      </w:pPr>
    </w:p>
    <w:p w14:paraId="4B20C4D3" w14:textId="77777777" w:rsidR="00930143" w:rsidRPr="00D822C6" w:rsidRDefault="00930143" w:rsidP="00930143">
      <w:pPr>
        <w:keepLines/>
        <w:jc w:val="both"/>
        <w:rPr>
          <w:lang w:val="en-US"/>
        </w:rPr>
      </w:pPr>
      <w:proofErr w:type="spellStart"/>
      <w:r w:rsidRPr="00D822C6">
        <w:rPr>
          <w:lang w:val="en-US"/>
        </w:rPr>
        <w:t>Beširević,V</w:t>
      </w:r>
      <w:proofErr w:type="spellEnd"/>
      <w:r w:rsidRPr="00D822C6">
        <w:rPr>
          <w:lang w:val="en-US"/>
        </w:rPr>
        <w:t xml:space="preserve">.,(ed.), </w:t>
      </w:r>
      <w:r w:rsidRPr="00D822C6">
        <w:rPr>
          <w:i/>
          <w:iCs/>
          <w:lang w:val="en-US"/>
        </w:rPr>
        <w:t>New Politics of Decisionism</w:t>
      </w:r>
      <w:r w:rsidRPr="00D822C6">
        <w:rPr>
          <w:lang w:val="en-US"/>
        </w:rPr>
        <w:t xml:space="preserve">, Eleven International Publishing, The Hague, 2019. </w:t>
      </w:r>
    </w:p>
    <w:p w14:paraId="432BB3FC" w14:textId="77777777" w:rsidR="00930143" w:rsidRPr="00D822C6" w:rsidRDefault="00930143" w:rsidP="00930143">
      <w:pPr>
        <w:autoSpaceDE w:val="0"/>
        <w:autoSpaceDN w:val="0"/>
        <w:adjustRightInd w:val="0"/>
        <w:jc w:val="both"/>
        <w:rPr>
          <w:lang w:val="en-US"/>
        </w:rPr>
      </w:pPr>
    </w:p>
    <w:p w14:paraId="7EA4A282" w14:textId="77777777" w:rsidR="00930143" w:rsidRPr="00D822C6" w:rsidRDefault="00930143" w:rsidP="00930143">
      <w:pPr>
        <w:autoSpaceDE w:val="0"/>
        <w:autoSpaceDN w:val="0"/>
        <w:adjustRightInd w:val="0"/>
        <w:jc w:val="both"/>
        <w:rPr>
          <w:lang w:val="en-US"/>
        </w:rPr>
      </w:pPr>
      <w:r w:rsidRPr="00D822C6">
        <w:rPr>
          <w:lang w:val="en-US"/>
        </w:rPr>
        <w:t xml:space="preserve">Beširević, V. (ed.), </w:t>
      </w:r>
      <w:proofErr w:type="spellStart"/>
      <w:r w:rsidRPr="00D822C6">
        <w:rPr>
          <w:i/>
          <w:iCs/>
          <w:lang w:val="en-US"/>
        </w:rPr>
        <w:t>Miltantna</w:t>
      </w:r>
      <w:proofErr w:type="spellEnd"/>
      <w:r w:rsidRPr="00D822C6">
        <w:rPr>
          <w:i/>
          <w:iCs/>
          <w:lang w:val="en-US"/>
        </w:rPr>
        <w:t xml:space="preserve"> </w:t>
      </w:r>
      <w:proofErr w:type="spellStart"/>
      <w:r w:rsidRPr="00D822C6">
        <w:rPr>
          <w:i/>
          <w:iCs/>
          <w:lang w:val="en-US"/>
        </w:rPr>
        <w:t>demokratija</w:t>
      </w:r>
      <w:proofErr w:type="spellEnd"/>
      <w:r w:rsidRPr="00D822C6">
        <w:rPr>
          <w:i/>
          <w:iCs/>
          <w:lang w:val="en-US"/>
        </w:rPr>
        <w:t xml:space="preserve">- </w:t>
      </w:r>
      <w:proofErr w:type="spellStart"/>
      <w:r w:rsidRPr="00D822C6">
        <w:rPr>
          <w:i/>
          <w:iCs/>
          <w:lang w:val="en-US"/>
        </w:rPr>
        <w:t>nekada</w:t>
      </w:r>
      <w:proofErr w:type="spellEnd"/>
      <w:r w:rsidRPr="00D822C6">
        <w:rPr>
          <w:i/>
          <w:iCs/>
          <w:lang w:val="en-US"/>
        </w:rPr>
        <w:t xml:space="preserve"> </w:t>
      </w:r>
      <w:proofErr w:type="spellStart"/>
      <w:r w:rsidRPr="00D822C6">
        <w:rPr>
          <w:i/>
          <w:iCs/>
          <w:lang w:val="en-US"/>
        </w:rPr>
        <w:t>i</w:t>
      </w:r>
      <w:proofErr w:type="spellEnd"/>
      <w:r w:rsidRPr="00D822C6">
        <w:rPr>
          <w:i/>
          <w:iCs/>
          <w:lang w:val="en-US"/>
        </w:rPr>
        <w:t xml:space="preserve"> </w:t>
      </w:r>
      <w:proofErr w:type="spellStart"/>
      <w:r w:rsidRPr="00D822C6">
        <w:rPr>
          <w:i/>
          <w:iCs/>
          <w:lang w:val="en-US"/>
        </w:rPr>
        <w:t>sada</w:t>
      </w:r>
      <w:proofErr w:type="spellEnd"/>
      <w:r w:rsidRPr="00D822C6">
        <w:rPr>
          <w:lang w:val="en-US"/>
        </w:rPr>
        <w:t xml:space="preserve"> [</w:t>
      </w:r>
      <w:r w:rsidRPr="00D822C6">
        <w:rPr>
          <w:i/>
          <w:iCs/>
          <w:lang w:val="en-US"/>
        </w:rPr>
        <w:t>Militant Democracy-Then and Now</w:t>
      </w:r>
      <w:r w:rsidRPr="00D822C6">
        <w:rPr>
          <w:lang w:val="en-US"/>
        </w:rPr>
        <w:t xml:space="preserve">], </w:t>
      </w:r>
      <w:proofErr w:type="spellStart"/>
      <w:r w:rsidRPr="00D822C6">
        <w:rPr>
          <w:lang w:val="en-US"/>
        </w:rPr>
        <w:t>Pravni</w:t>
      </w:r>
      <w:proofErr w:type="spellEnd"/>
      <w:r w:rsidRPr="00D822C6">
        <w:rPr>
          <w:lang w:val="en-US"/>
        </w:rPr>
        <w:t xml:space="preserve"> </w:t>
      </w:r>
      <w:proofErr w:type="spellStart"/>
      <w:r w:rsidRPr="00D822C6">
        <w:rPr>
          <w:lang w:val="en-US"/>
        </w:rPr>
        <w:t>fakultet</w:t>
      </w:r>
      <w:proofErr w:type="spellEnd"/>
      <w:r w:rsidRPr="00D822C6">
        <w:rPr>
          <w:lang w:val="en-US"/>
        </w:rPr>
        <w:t xml:space="preserve"> </w:t>
      </w:r>
      <w:proofErr w:type="spellStart"/>
      <w:r w:rsidRPr="00D822C6">
        <w:rPr>
          <w:lang w:val="en-US"/>
        </w:rPr>
        <w:t>Univerziteta</w:t>
      </w:r>
      <w:proofErr w:type="spellEnd"/>
      <w:r w:rsidRPr="00D822C6">
        <w:rPr>
          <w:lang w:val="en-US"/>
        </w:rPr>
        <w:t xml:space="preserve"> Union u </w:t>
      </w:r>
      <w:proofErr w:type="spellStart"/>
      <w:r w:rsidRPr="00D822C6">
        <w:rPr>
          <w:lang w:val="en-US"/>
        </w:rPr>
        <w:t>Beogradu</w:t>
      </w:r>
      <w:proofErr w:type="spellEnd"/>
      <w:r w:rsidRPr="00D822C6">
        <w:rPr>
          <w:lang w:val="en-US"/>
        </w:rPr>
        <w:t xml:space="preserve">, </w:t>
      </w:r>
      <w:proofErr w:type="spellStart"/>
      <w:r w:rsidRPr="00D822C6">
        <w:rPr>
          <w:lang w:val="en-US"/>
        </w:rPr>
        <w:t>Službeni</w:t>
      </w:r>
      <w:proofErr w:type="spellEnd"/>
      <w:r w:rsidRPr="00D822C6">
        <w:rPr>
          <w:lang w:val="en-US"/>
        </w:rPr>
        <w:t xml:space="preserve"> </w:t>
      </w:r>
      <w:proofErr w:type="spellStart"/>
      <w:r w:rsidRPr="00D822C6">
        <w:rPr>
          <w:lang w:val="en-US"/>
        </w:rPr>
        <w:t>Glasnik</w:t>
      </w:r>
      <w:proofErr w:type="spellEnd"/>
      <w:r w:rsidRPr="00D822C6">
        <w:rPr>
          <w:lang w:val="en-US"/>
        </w:rPr>
        <w:t xml:space="preserve">, Belgrade, 2013. </w:t>
      </w:r>
    </w:p>
    <w:p w14:paraId="0CFB5EE0" w14:textId="77777777" w:rsidR="00930143" w:rsidRPr="00D822C6" w:rsidRDefault="00930143" w:rsidP="00930143">
      <w:pPr>
        <w:autoSpaceDE w:val="0"/>
        <w:autoSpaceDN w:val="0"/>
        <w:adjustRightInd w:val="0"/>
        <w:jc w:val="both"/>
        <w:rPr>
          <w:color w:val="000000"/>
          <w:lang w:val="en-US"/>
        </w:rPr>
      </w:pPr>
    </w:p>
    <w:p w14:paraId="22735E6A" w14:textId="77777777" w:rsidR="00930143" w:rsidRPr="00D822C6" w:rsidRDefault="00930143" w:rsidP="00930143">
      <w:pPr>
        <w:jc w:val="both"/>
        <w:rPr>
          <w:lang w:val="en-US"/>
        </w:rPr>
      </w:pPr>
      <w:r w:rsidRPr="00D822C6">
        <w:rPr>
          <w:lang w:val="en-US"/>
        </w:rPr>
        <w:t>Beširević,</w:t>
      </w:r>
      <w:r w:rsidRPr="00D822C6">
        <w:rPr>
          <w:rStyle w:val="apple-style-span"/>
          <w:lang w:val="en-US"/>
        </w:rPr>
        <w:t xml:space="preserve"> V., </w:t>
      </w:r>
      <w:r w:rsidRPr="00D822C6">
        <w:rPr>
          <w:rStyle w:val="apple-style-span"/>
          <w:i/>
          <w:iCs/>
          <w:lang w:val="en-US"/>
        </w:rPr>
        <w:t>A Short Guide to Militant Democracy: Some Remarks on the Strasbourg Jurisprudence</w:t>
      </w:r>
      <w:r w:rsidRPr="00D822C6">
        <w:rPr>
          <w:rStyle w:val="apple-style-span"/>
          <w:i/>
          <w:lang w:val="en-US"/>
        </w:rPr>
        <w:t xml:space="preserve">, </w:t>
      </w:r>
      <w:r w:rsidRPr="00D822C6">
        <w:rPr>
          <w:rStyle w:val="apple-style-span"/>
          <w:lang w:val="en-US"/>
        </w:rPr>
        <w:t>in:</w:t>
      </w:r>
      <w:r w:rsidRPr="00D822C6">
        <w:rPr>
          <w:lang w:val="en-US"/>
        </w:rPr>
        <w:t xml:space="preserve"> </w:t>
      </w:r>
      <w:proofErr w:type="spellStart"/>
      <w:r w:rsidRPr="00D822C6">
        <w:rPr>
          <w:lang w:val="en-US"/>
        </w:rPr>
        <w:t>Benedek</w:t>
      </w:r>
      <w:proofErr w:type="spellEnd"/>
      <w:r w:rsidRPr="00D822C6">
        <w:rPr>
          <w:lang w:val="en-US"/>
        </w:rPr>
        <w:t xml:space="preserve">, W.; Benoît-Rohmer, F.; Karl, W.; Nowak, M. (eds.), </w:t>
      </w:r>
      <w:r w:rsidRPr="00D822C6">
        <w:rPr>
          <w:rStyle w:val="apple-style-span"/>
          <w:i/>
          <w:lang w:val="en-US"/>
        </w:rPr>
        <w:t>European Yearbook of Human Rights 2012</w:t>
      </w:r>
      <w:r w:rsidRPr="00D822C6">
        <w:rPr>
          <w:rStyle w:val="apple-style-span"/>
          <w:lang w:val="en-US"/>
        </w:rPr>
        <w:t xml:space="preserve">, </w:t>
      </w:r>
      <w:proofErr w:type="spellStart"/>
      <w:r w:rsidRPr="00D822C6">
        <w:rPr>
          <w:lang w:val="en-US"/>
        </w:rPr>
        <w:t>Intersentia</w:t>
      </w:r>
      <w:proofErr w:type="spellEnd"/>
      <w:r w:rsidRPr="00D822C6">
        <w:rPr>
          <w:lang w:val="en-US"/>
        </w:rPr>
        <w:t>,</w:t>
      </w:r>
      <w:r w:rsidRPr="00D822C6">
        <w:rPr>
          <w:rStyle w:val="apple-style-span"/>
          <w:lang w:val="en-US"/>
        </w:rPr>
        <w:t xml:space="preserve"> Antwerp</w:t>
      </w:r>
      <w:r>
        <w:rPr>
          <w:rStyle w:val="apple-style-span"/>
          <w:lang w:val="en-US"/>
        </w:rPr>
        <w:t>;</w:t>
      </w:r>
      <w:r w:rsidRPr="00D822C6">
        <w:rPr>
          <w:lang w:val="en-US"/>
        </w:rPr>
        <w:t xml:space="preserve"> NW Verlag, </w:t>
      </w:r>
      <w:r w:rsidRPr="00D822C6">
        <w:rPr>
          <w:rStyle w:val="apple-style-span"/>
          <w:lang w:val="en-US"/>
        </w:rPr>
        <w:t>Vienna,</w:t>
      </w:r>
      <w:r w:rsidRPr="00D822C6">
        <w:rPr>
          <w:lang w:val="en-US"/>
        </w:rPr>
        <w:t xml:space="preserve"> 2012, pp. 243-258.</w:t>
      </w:r>
    </w:p>
    <w:p w14:paraId="3EF9D456" w14:textId="77777777" w:rsidR="00930143" w:rsidRPr="00D822C6" w:rsidRDefault="00930143" w:rsidP="00930143">
      <w:pPr>
        <w:autoSpaceDE w:val="0"/>
        <w:autoSpaceDN w:val="0"/>
        <w:adjustRightInd w:val="0"/>
        <w:jc w:val="both"/>
        <w:rPr>
          <w:color w:val="000000"/>
          <w:lang w:val="en-US"/>
        </w:rPr>
      </w:pPr>
    </w:p>
    <w:p w14:paraId="1153BA31" w14:textId="77777777" w:rsidR="00930143" w:rsidRPr="00D822C6" w:rsidRDefault="00930143" w:rsidP="00930143">
      <w:pPr>
        <w:autoSpaceDE w:val="0"/>
        <w:autoSpaceDN w:val="0"/>
        <w:adjustRightInd w:val="0"/>
        <w:jc w:val="both"/>
        <w:rPr>
          <w:lang w:val="en-US"/>
        </w:rPr>
      </w:pPr>
      <w:proofErr w:type="spellStart"/>
      <w:r w:rsidRPr="00D822C6">
        <w:rPr>
          <w:color w:val="000000"/>
          <w:lang w:val="en-US"/>
        </w:rPr>
        <w:t>Capoccia,G</w:t>
      </w:r>
      <w:proofErr w:type="spellEnd"/>
      <w:r w:rsidRPr="00D822C6">
        <w:rPr>
          <w:color w:val="000000"/>
          <w:lang w:val="en-US"/>
        </w:rPr>
        <w:t xml:space="preserve">., </w:t>
      </w:r>
      <w:r w:rsidRPr="00D822C6">
        <w:rPr>
          <w:i/>
          <w:iCs/>
          <w:color w:val="000000"/>
          <w:lang w:val="en-US"/>
        </w:rPr>
        <w:t>Militant Democracy: The Institutional Bases of Democratic Self-Preservation</w:t>
      </w:r>
      <w:r w:rsidRPr="00D822C6">
        <w:rPr>
          <w:color w:val="000000"/>
          <w:lang w:val="en-US"/>
        </w:rPr>
        <w:t>, Annual Review of Law and Social Science, vol.9, no.1, 2013, pp. 207-226.</w:t>
      </w:r>
    </w:p>
    <w:p w14:paraId="541AA033" w14:textId="77777777" w:rsidR="00930143" w:rsidRPr="00D822C6" w:rsidRDefault="00930143" w:rsidP="00930143">
      <w:pPr>
        <w:pStyle w:val="NormalWeb"/>
        <w:spacing w:before="0" w:beforeAutospacing="0" w:after="0" w:afterAutospacing="0"/>
        <w:jc w:val="both"/>
      </w:pPr>
    </w:p>
    <w:p w14:paraId="1C80996C" w14:textId="77777777" w:rsidR="00930143" w:rsidRPr="00D822C6" w:rsidRDefault="00930143" w:rsidP="00930143">
      <w:pPr>
        <w:pStyle w:val="NormalWeb"/>
        <w:spacing w:before="0" w:beforeAutospacing="0" w:after="0" w:afterAutospacing="0"/>
        <w:jc w:val="both"/>
        <w:rPr>
          <w:lang w:val="en-US"/>
        </w:rPr>
      </w:pPr>
      <w:r w:rsidRPr="00D822C6">
        <w:rPr>
          <w:lang w:val="en-US"/>
        </w:rPr>
        <w:t xml:space="preserve">Cassese, A., </w:t>
      </w:r>
      <w:r w:rsidRPr="00D822C6">
        <w:rPr>
          <w:i/>
          <w:iCs/>
          <w:lang w:val="en-US"/>
        </w:rPr>
        <w:t>International Criminal Law</w:t>
      </w:r>
      <w:r w:rsidRPr="00D822C6">
        <w:rPr>
          <w:lang w:val="en-US"/>
        </w:rPr>
        <w:t>, Oxford University Press, Oxford, 2003.</w:t>
      </w:r>
    </w:p>
    <w:p w14:paraId="0C8A965C" w14:textId="77777777" w:rsidR="00930143" w:rsidRPr="00D822C6" w:rsidRDefault="00930143" w:rsidP="00930143">
      <w:pPr>
        <w:pStyle w:val="NormalWeb"/>
        <w:spacing w:before="0" w:beforeAutospacing="0" w:after="0" w:afterAutospacing="0"/>
        <w:jc w:val="both"/>
        <w:rPr>
          <w:lang w:val="en-US"/>
        </w:rPr>
      </w:pPr>
    </w:p>
    <w:p w14:paraId="3BB6FDE5" w14:textId="77777777" w:rsidR="00930143" w:rsidRPr="00D822C6" w:rsidRDefault="00930143" w:rsidP="00930143">
      <w:pPr>
        <w:pStyle w:val="NormalWeb"/>
        <w:spacing w:before="0" w:beforeAutospacing="0" w:after="0" w:afterAutospacing="0"/>
        <w:jc w:val="both"/>
      </w:pPr>
      <w:r w:rsidRPr="00D822C6">
        <w:rPr>
          <w:lang w:val="en-US"/>
        </w:rPr>
        <w:t>Constitution of France,</w:t>
      </w:r>
      <w:r w:rsidRPr="00D822C6">
        <w:t xml:space="preserve"> </w:t>
      </w:r>
    </w:p>
    <w:p w14:paraId="7637160D" w14:textId="77777777" w:rsidR="00930143" w:rsidRPr="00D822C6" w:rsidRDefault="00930143" w:rsidP="00930143">
      <w:pPr>
        <w:pStyle w:val="NormalWeb"/>
        <w:spacing w:before="0" w:beforeAutospacing="0" w:after="0" w:afterAutospacing="0"/>
        <w:jc w:val="both"/>
        <w:rPr>
          <w:lang w:val="en-US"/>
        </w:rPr>
      </w:pPr>
      <w:r w:rsidRPr="00D822C6">
        <w:rPr>
          <w:lang w:val="en-US"/>
        </w:rPr>
        <w:t xml:space="preserve">https://www.conseilconstitutionnel.fr/sites/default/files/as/root/bank_mm/anglais/constiution_anglais_oct2009.pdf (28 June 2021). </w:t>
      </w:r>
    </w:p>
    <w:p w14:paraId="0C425A48" w14:textId="77777777" w:rsidR="00930143" w:rsidRPr="00D822C6" w:rsidRDefault="00930143" w:rsidP="00930143">
      <w:pPr>
        <w:pStyle w:val="NormalWeb"/>
        <w:spacing w:before="0" w:beforeAutospacing="0" w:after="0" w:afterAutospacing="0"/>
        <w:jc w:val="both"/>
        <w:rPr>
          <w:lang w:val="en-US"/>
        </w:rPr>
      </w:pPr>
    </w:p>
    <w:p w14:paraId="688E3519" w14:textId="77777777" w:rsidR="00930143" w:rsidRPr="00D822C6" w:rsidRDefault="00930143" w:rsidP="00930143">
      <w:pPr>
        <w:pStyle w:val="NormalWeb"/>
        <w:spacing w:before="0" w:beforeAutospacing="0" w:after="0" w:afterAutospacing="0"/>
        <w:jc w:val="both"/>
        <w:rPr>
          <w:lang w:val="en-US"/>
        </w:rPr>
      </w:pPr>
      <w:proofErr w:type="spellStart"/>
      <w:r w:rsidRPr="00D822C6">
        <w:rPr>
          <w:lang w:val="en-US"/>
        </w:rPr>
        <w:t>Degan</w:t>
      </w:r>
      <w:proofErr w:type="spellEnd"/>
      <w:r w:rsidRPr="00D822C6">
        <w:rPr>
          <w:lang w:val="en-US"/>
        </w:rPr>
        <w:t>, V.</w:t>
      </w:r>
      <w:r w:rsidRPr="00D822C6">
        <w:rPr>
          <w:lang w:val="sr-Latn-RS"/>
        </w:rPr>
        <w:t>Đ.</w:t>
      </w:r>
      <w:r w:rsidRPr="00D822C6">
        <w:rPr>
          <w:lang w:val="en-US"/>
        </w:rPr>
        <w:t xml:space="preserve">; </w:t>
      </w:r>
      <w:proofErr w:type="spellStart"/>
      <w:r w:rsidRPr="00D822C6">
        <w:rPr>
          <w:lang w:val="en-US"/>
        </w:rPr>
        <w:t>Pavišić</w:t>
      </w:r>
      <w:proofErr w:type="spellEnd"/>
      <w:r w:rsidRPr="00D822C6">
        <w:rPr>
          <w:lang w:val="en-US"/>
        </w:rPr>
        <w:t xml:space="preserve">, B.; Beširević, V., </w:t>
      </w:r>
      <w:proofErr w:type="spellStart"/>
      <w:r w:rsidRPr="00D822C6">
        <w:rPr>
          <w:i/>
          <w:iCs/>
          <w:lang w:val="en-US"/>
        </w:rPr>
        <w:t>Međunarodno</w:t>
      </w:r>
      <w:proofErr w:type="spellEnd"/>
      <w:r w:rsidRPr="00D822C6">
        <w:rPr>
          <w:i/>
          <w:iCs/>
          <w:lang w:val="en-US"/>
        </w:rPr>
        <w:t xml:space="preserve"> </w:t>
      </w:r>
      <w:proofErr w:type="spellStart"/>
      <w:r w:rsidRPr="00D822C6">
        <w:rPr>
          <w:i/>
          <w:iCs/>
          <w:lang w:val="en-US"/>
        </w:rPr>
        <w:t>i</w:t>
      </w:r>
      <w:proofErr w:type="spellEnd"/>
      <w:r w:rsidRPr="00D822C6">
        <w:rPr>
          <w:i/>
          <w:iCs/>
          <w:lang w:val="en-US"/>
        </w:rPr>
        <w:t xml:space="preserve"> transnacionalno </w:t>
      </w:r>
      <w:proofErr w:type="spellStart"/>
      <w:r w:rsidRPr="00D822C6">
        <w:rPr>
          <w:i/>
          <w:iCs/>
          <w:lang w:val="en-US"/>
        </w:rPr>
        <w:t>krivično</w:t>
      </w:r>
      <w:proofErr w:type="spellEnd"/>
      <w:r w:rsidRPr="00D822C6">
        <w:rPr>
          <w:i/>
          <w:iCs/>
          <w:lang w:val="en-US"/>
        </w:rPr>
        <w:t xml:space="preserve"> </w:t>
      </w:r>
      <w:proofErr w:type="spellStart"/>
      <w:r w:rsidRPr="00D822C6">
        <w:rPr>
          <w:i/>
          <w:iCs/>
          <w:lang w:val="en-US"/>
        </w:rPr>
        <w:t>pravo</w:t>
      </w:r>
      <w:proofErr w:type="spellEnd"/>
      <w:r w:rsidRPr="00D822C6">
        <w:rPr>
          <w:lang w:val="en-US"/>
        </w:rPr>
        <w:t>,</w:t>
      </w:r>
      <w:r w:rsidRPr="00D822C6">
        <w:rPr>
          <w:i/>
          <w:lang w:val="en-US"/>
        </w:rPr>
        <w:t xml:space="preserve"> </w:t>
      </w:r>
      <w:r w:rsidRPr="00D822C6">
        <w:rPr>
          <w:iCs/>
          <w:lang w:val="en-US"/>
        </w:rPr>
        <w:t>[International and Translational Criminal Law],</w:t>
      </w:r>
      <w:r w:rsidRPr="00D822C6">
        <w:rPr>
          <w:lang w:val="en-US"/>
        </w:rPr>
        <w:t xml:space="preserve"> </w:t>
      </w:r>
      <w:proofErr w:type="spellStart"/>
      <w:r w:rsidRPr="00D822C6">
        <w:rPr>
          <w:lang w:val="en-US"/>
        </w:rPr>
        <w:t>Pravni</w:t>
      </w:r>
      <w:proofErr w:type="spellEnd"/>
      <w:r w:rsidRPr="00D822C6">
        <w:rPr>
          <w:lang w:val="en-US"/>
        </w:rPr>
        <w:t xml:space="preserve"> </w:t>
      </w:r>
      <w:proofErr w:type="spellStart"/>
      <w:r w:rsidRPr="00D822C6">
        <w:rPr>
          <w:lang w:val="en-US"/>
        </w:rPr>
        <w:t>fakultet</w:t>
      </w:r>
      <w:proofErr w:type="spellEnd"/>
      <w:r w:rsidRPr="00D822C6">
        <w:rPr>
          <w:lang w:val="en-US"/>
        </w:rPr>
        <w:t xml:space="preserve"> </w:t>
      </w:r>
      <w:proofErr w:type="spellStart"/>
      <w:r w:rsidRPr="00D822C6">
        <w:rPr>
          <w:lang w:val="en-US"/>
        </w:rPr>
        <w:t>Univerziteta</w:t>
      </w:r>
      <w:proofErr w:type="spellEnd"/>
      <w:r w:rsidRPr="00D822C6">
        <w:rPr>
          <w:lang w:val="en-US"/>
        </w:rPr>
        <w:t xml:space="preserve"> Union u </w:t>
      </w:r>
      <w:proofErr w:type="spellStart"/>
      <w:r w:rsidRPr="00D822C6">
        <w:rPr>
          <w:lang w:val="en-US"/>
        </w:rPr>
        <w:t>Beogradu</w:t>
      </w:r>
      <w:proofErr w:type="spellEnd"/>
      <w:r w:rsidRPr="00D822C6">
        <w:rPr>
          <w:lang w:val="en-US"/>
        </w:rPr>
        <w:t xml:space="preserve">, </w:t>
      </w:r>
      <w:proofErr w:type="spellStart"/>
      <w:r w:rsidRPr="00D822C6">
        <w:rPr>
          <w:lang w:val="en-US"/>
        </w:rPr>
        <w:t>Službeni</w:t>
      </w:r>
      <w:proofErr w:type="spellEnd"/>
      <w:r w:rsidRPr="00D822C6">
        <w:rPr>
          <w:lang w:val="en-US"/>
        </w:rPr>
        <w:t xml:space="preserve"> </w:t>
      </w:r>
      <w:proofErr w:type="spellStart"/>
      <w:r w:rsidRPr="00D822C6">
        <w:rPr>
          <w:lang w:val="en-US"/>
        </w:rPr>
        <w:t>Glasnik</w:t>
      </w:r>
      <w:proofErr w:type="spellEnd"/>
      <w:r w:rsidRPr="00D822C6">
        <w:rPr>
          <w:lang w:val="en-US"/>
        </w:rPr>
        <w:t xml:space="preserve">, Belgrade, 2011, pp.219-228. </w:t>
      </w:r>
    </w:p>
    <w:p w14:paraId="32980215" w14:textId="77777777" w:rsidR="00930143" w:rsidRPr="00D822C6" w:rsidRDefault="00930143" w:rsidP="00930143">
      <w:pPr>
        <w:pStyle w:val="FootnoteText"/>
        <w:jc w:val="both"/>
        <w:rPr>
          <w:sz w:val="24"/>
          <w:szCs w:val="24"/>
        </w:rPr>
      </w:pPr>
    </w:p>
    <w:p w14:paraId="0C94BF17" w14:textId="77777777" w:rsidR="00930143" w:rsidRPr="00D822C6" w:rsidRDefault="00930143" w:rsidP="00930143">
      <w:pPr>
        <w:pStyle w:val="FootnoteText"/>
        <w:jc w:val="both"/>
        <w:rPr>
          <w:sz w:val="24"/>
          <w:szCs w:val="24"/>
        </w:rPr>
      </w:pPr>
      <w:proofErr w:type="spellStart"/>
      <w:r w:rsidRPr="00D822C6">
        <w:rPr>
          <w:sz w:val="24"/>
          <w:szCs w:val="24"/>
        </w:rPr>
        <w:t>Dimitrijević</w:t>
      </w:r>
      <w:proofErr w:type="spellEnd"/>
      <w:r w:rsidRPr="00D822C6">
        <w:rPr>
          <w:sz w:val="24"/>
          <w:szCs w:val="24"/>
        </w:rPr>
        <w:t xml:space="preserve">, N., </w:t>
      </w:r>
      <w:proofErr w:type="spellStart"/>
      <w:r w:rsidRPr="00D822C6">
        <w:rPr>
          <w:i/>
          <w:iCs/>
          <w:sz w:val="24"/>
          <w:szCs w:val="24"/>
        </w:rPr>
        <w:t>Militantna</w:t>
      </w:r>
      <w:proofErr w:type="spellEnd"/>
      <w:r w:rsidRPr="00D822C6">
        <w:rPr>
          <w:i/>
          <w:iCs/>
          <w:sz w:val="24"/>
          <w:szCs w:val="24"/>
        </w:rPr>
        <w:t xml:space="preserve"> </w:t>
      </w:r>
      <w:proofErr w:type="spellStart"/>
      <w:r w:rsidRPr="00D822C6">
        <w:rPr>
          <w:i/>
          <w:iCs/>
          <w:sz w:val="24"/>
          <w:szCs w:val="24"/>
        </w:rPr>
        <w:t>demokratija</w:t>
      </w:r>
      <w:proofErr w:type="spellEnd"/>
      <w:r w:rsidRPr="00D822C6">
        <w:rPr>
          <w:i/>
          <w:iCs/>
          <w:sz w:val="24"/>
          <w:szCs w:val="24"/>
        </w:rPr>
        <w:t xml:space="preserve">, </w:t>
      </w:r>
      <w:proofErr w:type="spellStart"/>
      <w:r w:rsidRPr="00D822C6">
        <w:rPr>
          <w:i/>
          <w:iCs/>
          <w:sz w:val="24"/>
          <w:szCs w:val="24"/>
        </w:rPr>
        <w:t>konstitucionalna</w:t>
      </w:r>
      <w:proofErr w:type="spellEnd"/>
      <w:r w:rsidRPr="00D822C6">
        <w:rPr>
          <w:i/>
          <w:iCs/>
          <w:sz w:val="24"/>
          <w:szCs w:val="24"/>
        </w:rPr>
        <w:t xml:space="preserve"> </w:t>
      </w:r>
      <w:proofErr w:type="spellStart"/>
      <w:r w:rsidRPr="00D822C6">
        <w:rPr>
          <w:i/>
          <w:iCs/>
          <w:sz w:val="24"/>
          <w:szCs w:val="24"/>
        </w:rPr>
        <w:t>demokratija</w:t>
      </w:r>
      <w:proofErr w:type="spellEnd"/>
      <w:r w:rsidRPr="00D822C6">
        <w:rPr>
          <w:i/>
          <w:iCs/>
          <w:sz w:val="24"/>
          <w:szCs w:val="24"/>
        </w:rPr>
        <w:t xml:space="preserve"> </w:t>
      </w:r>
      <w:proofErr w:type="spellStart"/>
      <w:r w:rsidRPr="00D822C6">
        <w:rPr>
          <w:i/>
          <w:iCs/>
          <w:sz w:val="24"/>
          <w:szCs w:val="24"/>
        </w:rPr>
        <w:t>i</w:t>
      </w:r>
      <w:proofErr w:type="spellEnd"/>
      <w:r w:rsidRPr="00D822C6">
        <w:rPr>
          <w:i/>
          <w:iCs/>
          <w:sz w:val="24"/>
          <w:szCs w:val="24"/>
        </w:rPr>
        <w:t xml:space="preserve"> </w:t>
      </w:r>
      <w:proofErr w:type="spellStart"/>
      <w:r w:rsidRPr="00D822C6">
        <w:rPr>
          <w:i/>
          <w:iCs/>
          <w:sz w:val="24"/>
          <w:szCs w:val="24"/>
        </w:rPr>
        <w:t>osnovana</w:t>
      </w:r>
      <w:proofErr w:type="spellEnd"/>
      <w:r w:rsidRPr="00D822C6">
        <w:rPr>
          <w:i/>
          <w:iCs/>
          <w:sz w:val="24"/>
          <w:szCs w:val="24"/>
        </w:rPr>
        <w:t xml:space="preserve"> </w:t>
      </w:r>
      <w:proofErr w:type="spellStart"/>
      <w:r w:rsidRPr="00D822C6">
        <w:rPr>
          <w:i/>
          <w:iCs/>
          <w:sz w:val="24"/>
          <w:szCs w:val="24"/>
        </w:rPr>
        <w:t>prava</w:t>
      </w:r>
      <w:proofErr w:type="spellEnd"/>
      <w:r w:rsidRPr="00D822C6">
        <w:rPr>
          <w:i/>
          <w:iCs/>
          <w:sz w:val="24"/>
          <w:szCs w:val="24"/>
        </w:rPr>
        <w:t xml:space="preserve">: da li </w:t>
      </w:r>
      <w:proofErr w:type="spellStart"/>
      <w:r w:rsidRPr="00D822C6">
        <w:rPr>
          <w:i/>
          <w:iCs/>
          <w:sz w:val="24"/>
          <w:szCs w:val="24"/>
        </w:rPr>
        <w:t>su</w:t>
      </w:r>
      <w:proofErr w:type="spellEnd"/>
      <w:r w:rsidRPr="00D822C6">
        <w:rPr>
          <w:i/>
          <w:iCs/>
          <w:sz w:val="24"/>
          <w:szCs w:val="24"/>
        </w:rPr>
        <w:t xml:space="preserve"> </w:t>
      </w:r>
      <w:proofErr w:type="spellStart"/>
      <w:r w:rsidRPr="00D822C6">
        <w:rPr>
          <w:i/>
          <w:iCs/>
          <w:sz w:val="24"/>
          <w:szCs w:val="24"/>
        </w:rPr>
        <w:t>prijatelji</w:t>
      </w:r>
      <w:proofErr w:type="spellEnd"/>
      <w:r w:rsidRPr="00D822C6">
        <w:rPr>
          <w:i/>
          <w:iCs/>
          <w:sz w:val="24"/>
          <w:szCs w:val="24"/>
        </w:rPr>
        <w:t xml:space="preserve"> </w:t>
      </w:r>
      <w:proofErr w:type="spellStart"/>
      <w:r w:rsidRPr="00D822C6">
        <w:rPr>
          <w:i/>
          <w:iCs/>
          <w:sz w:val="24"/>
          <w:szCs w:val="24"/>
        </w:rPr>
        <w:t>demokratije</w:t>
      </w:r>
      <w:proofErr w:type="spellEnd"/>
      <w:r w:rsidRPr="00D822C6">
        <w:rPr>
          <w:i/>
          <w:iCs/>
          <w:sz w:val="24"/>
          <w:szCs w:val="24"/>
        </w:rPr>
        <w:t xml:space="preserve"> </w:t>
      </w:r>
      <w:proofErr w:type="spellStart"/>
      <w:r w:rsidRPr="00D822C6">
        <w:rPr>
          <w:i/>
          <w:iCs/>
          <w:sz w:val="24"/>
          <w:szCs w:val="24"/>
        </w:rPr>
        <w:t>neprijatelji</w:t>
      </w:r>
      <w:proofErr w:type="spellEnd"/>
      <w:r w:rsidRPr="00D822C6">
        <w:rPr>
          <w:i/>
          <w:iCs/>
          <w:sz w:val="24"/>
          <w:szCs w:val="24"/>
        </w:rPr>
        <w:t xml:space="preserve"> </w:t>
      </w:r>
      <w:proofErr w:type="spellStart"/>
      <w:r w:rsidRPr="00D822C6">
        <w:rPr>
          <w:i/>
          <w:iCs/>
          <w:sz w:val="24"/>
          <w:szCs w:val="24"/>
        </w:rPr>
        <w:t>slobode</w:t>
      </w:r>
      <w:proofErr w:type="spellEnd"/>
      <w:r w:rsidRPr="00D822C6">
        <w:rPr>
          <w:sz w:val="24"/>
          <w:szCs w:val="24"/>
        </w:rPr>
        <w:t>?,[</w:t>
      </w:r>
      <w:r w:rsidRPr="00D822C6">
        <w:rPr>
          <w:i/>
          <w:iCs/>
          <w:sz w:val="24"/>
          <w:szCs w:val="24"/>
        </w:rPr>
        <w:t>Militant Democracy, Constitutional Democracy and Fundamental Rights: Are Friends of Democracy Enemies of Freedom?</w:t>
      </w:r>
      <w:r w:rsidRPr="00D822C6">
        <w:rPr>
          <w:sz w:val="24"/>
          <w:szCs w:val="24"/>
        </w:rPr>
        <w:t xml:space="preserve">] in: Beširević, V. (ed.), </w:t>
      </w:r>
      <w:proofErr w:type="spellStart"/>
      <w:r w:rsidRPr="00D822C6">
        <w:rPr>
          <w:i/>
          <w:iCs/>
          <w:sz w:val="24"/>
          <w:szCs w:val="24"/>
        </w:rPr>
        <w:t>Miltantna</w:t>
      </w:r>
      <w:proofErr w:type="spellEnd"/>
      <w:r w:rsidRPr="00D822C6">
        <w:rPr>
          <w:i/>
          <w:iCs/>
          <w:sz w:val="24"/>
          <w:szCs w:val="24"/>
        </w:rPr>
        <w:t xml:space="preserve"> </w:t>
      </w:r>
      <w:proofErr w:type="spellStart"/>
      <w:r w:rsidRPr="00D822C6">
        <w:rPr>
          <w:i/>
          <w:iCs/>
          <w:sz w:val="24"/>
          <w:szCs w:val="24"/>
        </w:rPr>
        <w:t>demokratija</w:t>
      </w:r>
      <w:proofErr w:type="spellEnd"/>
      <w:r w:rsidRPr="00D822C6">
        <w:rPr>
          <w:i/>
          <w:iCs/>
          <w:sz w:val="24"/>
          <w:szCs w:val="24"/>
        </w:rPr>
        <w:t xml:space="preserve">- </w:t>
      </w:r>
      <w:proofErr w:type="spellStart"/>
      <w:r w:rsidRPr="00D822C6">
        <w:rPr>
          <w:i/>
          <w:iCs/>
          <w:sz w:val="24"/>
          <w:szCs w:val="24"/>
        </w:rPr>
        <w:t>nekada</w:t>
      </w:r>
      <w:proofErr w:type="spellEnd"/>
      <w:r w:rsidRPr="00D822C6">
        <w:rPr>
          <w:i/>
          <w:iCs/>
          <w:sz w:val="24"/>
          <w:szCs w:val="24"/>
        </w:rPr>
        <w:t xml:space="preserve"> </w:t>
      </w:r>
      <w:proofErr w:type="spellStart"/>
      <w:r w:rsidRPr="00D822C6">
        <w:rPr>
          <w:i/>
          <w:iCs/>
          <w:sz w:val="24"/>
          <w:szCs w:val="24"/>
        </w:rPr>
        <w:t>i</w:t>
      </w:r>
      <w:proofErr w:type="spellEnd"/>
      <w:r w:rsidRPr="00D822C6">
        <w:rPr>
          <w:i/>
          <w:iCs/>
          <w:sz w:val="24"/>
          <w:szCs w:val="24"/>
        </w:rPr>
        <w:t xml:space="preserve"> </w:t>
      </w:r>
      <w:proofErr w:type="spellStart"/>
      <w:r w:rsidRPr="00D822C6">
        <w:rPr>
          <w:i/>
          <w:iCs/>
          <w:sz w:val="24"/>
          <w:szCs w:val="24"/>
        </w:rPr>
        <w:t>sada</w:t>
      </w:r>
      <w:proofErr w:type="spellEnd"/>
      <w:r w:rsidRPr="00D822C6">
        <w:rPr>
          <w:sz w:val="24"/>
          <w:szCs w:val="24"/>
        </w:rPr>
        <w:t xml:space="preserve"> [</w:t>
      </w:r>
      <w:r w:rsidRPr="00D822C6">
        <w:rPr>
          <w:i/>
          <w:iCs/>
          <w:sz w:val="24"/>
          <w:szCs w:val="24"/>
        </w:rPr>
        <w:t>Militant Democracy-Then and Now</w:t>
      </w:r>
      <w:r w:rsidRPr="00D822C6">
        <w:rPr>
          <w:sz w:val="24"/>
          <w:szCs w:val="24"/>
        </w:rPr>
        <w:t xml:space="preserve">], </w:t>
      </w:r>
      <w:proofErr w:type="spellStart"/>
      <w:r w:rsidRPr="00D822C6">
        <w:rPr>
          <w:sz w:val="24"/>
          <w:szCs w:val="24"/>
        </w:rPr>
        <w:t>Pravni</w:t>
      </w:r>
      <w:proofErr w:type="spellEnd"/>
      <w:r w:rsidRPr="00D822C6">
        <w:rPr>
          <w:sz w:val="24"/>
          <w:szCs w:val="24"/>
        </w:rPr>
        <w:t xml:space="preserve"> </w:t>
      </w:r>
      <w:proofErr w:type="spellStart"/>
      <w:r w:rsidRPr="00D822C6">
        <w:rPr>
          <w:sz w:val="24"/>
          <w:szCs w:val="24"/>
        </w:rPr>
        <w:t>fakultet</w:t>
      </w:r>
      <w:proofErr w:type="spellEnd"/>
      <w:r w:rsidRPr="00D822C6">
        <w:rPr>
          <w:sz w:val="24"/>
          <w:szCs w:val="24"/>
        </w:rPr>
        <w:t xml:space="preserve"> </w:t>
      </w:r>
      <w:proofErr w:type="spellStart"/>
      <w:r w:rsidRPr="00D822C6">
        <w:rPr>
          <w:sz w:val="24"/>
          <w:szCs w:val="24"/>
        </w:rPr>
        <w:t>Univerziteta</w:t>
      </w:r>
      <w:proofErr w:type="spellEnd"/>
      <w:r w:rsidRPr="00D822C6">
        <w:rPr>
          <w:sz w:val="24"/>
          <w:szCs w:val="24"/>
        </w:rPr>
        <w:t xml:space="preserve"> Union u </w:t>
      </w:r>
      <w:proofErr w:type="spellStart"/>
      <w:r w:rsidRPr="00D822C6">
        <w:rPr>
          <w:sz w:val="24"/>
          <w:szCs w:val="24"/>
        </w:rPr>
        <w:t>Beogradu</w:t>
      </w:r>
      <w:proofErr w:type="spellEnd"/>
      <w:r w:rsidRPr="00D822C6">
        <w:rPr>
          <w:sz w:val="24"/>
          <w:szCs w:val="24"/>
        </w:rPr>
        <w:t xml:space="preserve">, </w:t>
      </w:r>
      <w:proofErr w:type="spellStart"/>
      <w:r w:rsidRPr="00D822C6">
        <w:rPr>
          <w:sz w:val="24"/>
          <w:szCs w:val="24"/>
        </w:rPr>
        <w:t>Službeni</w:t>
      </w:r>
      <w:proofErr w:type="spellEnd"/>
      <w:r w:rsidRPr="00D822C6">
        <w:rPr>
          <w:sz w:val="24"/>
          <w:szCs w:val="24"/>
        </w:rPr>
        <w:t xml:space="preserve"> </w:t>
      </w:r>
      <w:proofErr w:type="spellStart"/>
      <w:r w:rsidRPr="00D822C6">
        <w:rPr>
          <w:sz w:val="24"/>
          <w:szCs w:val="24"/>
        </w:rPr>
        <w:t>Glasnik</w:t>
      </w:r>
      <w:proofErr w:type="spellEnd"/>
      <w:r w:rsidRPr="00D822C6">
        <w:rPr>
          <w:sz w:val="24"/>
          <w:szCs w:val="24"/>
        </w:rPr>
        <w:t xml:space="preserve">, Belgrade, 2013. pp.31-60. </w:t>
      </w:r>
    </w:p>
    <w:p w14:paraId="41739891" w14:textId="77777777" w:rsidR="00930143" w:rsidRDefault="00930143" w:rsidP="00930143">
      <w:pPr>
        <w:autoSpaceDE w:val="0"/>
        <w:autoSpaceDN w:val="0"/>
        <w:adjustRightInd w:val="0"/>
        <w:jc w:val="both"/>
      </w:pPr>
    </w:p>
    <w:p w14:paraId="201F2CC3" w14:textId="77777777" w:rsidR="00586838" w:rsidRDefault="00930143" w:rsidP="00930143">
      <w:pPr>
        <w:autoSpaceDE w:val="0"/>
        <w:autoSpaceDN w:val="0"/>
        <w:adjustRightInd w:val="0"/>
        <w:jc w:val="both"/>
        <w:rPr>
          <w:rFonts w:eastAsiaTheme="minorHAnsi"/>
          <w:lang w:eastAsia="en-US"/>
        </w:rPr>
      </w:pPr>
      <w:proofErr w:type="spellStart"/>
      <w:r w:rsidRPr="00D822C6">
        <w:t>Dyzenhaus</w:t>
      </w:r>
      <w:proofErr w:type="spellEnd"/>
      <w:r w:rsidRPr="00D822C6">
        <w:t xml:space="preserve">, D., </w:t>
      </w:r>
      <w:r w:rsidRPr="00D822C6">
        <w:rPr>
          <w:i/>
          <w:iCs/>
        </w:rPr>
        <w:t>States of Emergency</w:t>
      </w:r>
      <w:r w:rsidRPr="00D822C6">
        <w:t xml:space="preserve">, in: </w:t>
      </w:r>
      <w:r w:rsidRPr="00D822C6">
        <w:rPr>
          <w:noProof/>
        </w:rPr>
        <w:t xml:space="preserve">Rosenfeld, M,; Sajó, A. (eds.), </w:t>
      </w:r>
      <w:r w:rsidRPr="00D822C6">
        <w:rPr>
          <w:i/>
          <w:iCs/>
          <w:color w:val="000000"/>
          <w:lang w:val="en-US"/>
        </w:rPr>
        <w:t>The Oxford Handbook of Comparative Constitutional Law</w:t>
      </w:r>
      <w:r w:rsidRPr="00D822C6">
        <w:rPr>
          <w:color w:val="000000"/>
          <w:lang w:val="en-US"/>
        </w:rPr>
        <w:t xml:space="preserve">, Oxford University Press,Oxford,2012, </w:t>
      </w:r>
      <w:r w:rsidRPr="00D822C6">
        <w:rPr>
          <w:noProof/>
        </w:rPr>
        <w:t>pp. 442-462.</w:t>
      </w:r>
    </w:p>
    <w:p w14:paraId="587E1A57" w14:textId="2289EB93" w:rsidR="00930143" w:rsidRPr="00586838" w:rsidRDefault="00930143" w:rsidP="00930143">
      <w:pPr>
        <w:autoSpaceDE w:val="0"/>
        <w:autoSpaceDN w:val="0"/>
        <w:adjustRightInd w:val="0"/>
        <w:jc w:val="both"/>
        <w:rPr>
          <w:rFonts w:eastAsiaTheme="minorHAnsi"/>
          <w:lang w:eastAsia="en-US"/>
        </w:rPr>
      </w:pPr>
      <w:proofErr w:type="spellStart"/>
      <w:r w:rsidRPr="00D822C6">
        <w:lastRenderedPageBreak/>
        <w:t>Ferreres</w:t>
      </w:r>
      <w:proofErr w:type="spellEnd"/>
      <w:r w:rsidRPr="00D822C6">
        <w:t xml:space="preserve"> </w:t>
      </w:r>
      <w:proofErr w:type="spellStart"/>
      <w:r w:rsidRPr="00D822C6">
        <w:t>Comella</w:t>
      </w:r>
      <w:proofErr w:type="spellEnd"/>
      <w:r w:rsidRPr="00D822C6">
        <w:t>, V.,</w:t>
      </w:r>
      <w:r w:rsidRPr="00D822C6">
        <w:rPr>
          <w:i/>
          <w:iCs/>
        </w:rPr>
        <w:t xml:space="preserve"> The New Regulation of Political Parties in Spain, and the Decision to Outlaw </w:t>
      </w:r>
      <w:proofErr w:type="spellStart"/>
      <w:r w:rsidRPr="00D822C6">
        <w:rPr>
          <w:i/>
          <w:iCs/>
        </w:rPr>
        <w:t>Batusan</w:t>
      </w:r>
      <w:r w:rsidRPr="00D822C6">
        <w:t>a</w:t>
      </w:r>
      <w:proofErr w:type="spellEnd"/>
      <w:r w:rsidRPr="00D822C6">
        <w:t xml:space="preserve">, in: </w:t>
      </w:r>
      <w:proofErr w:type="spellStart"/>
      <w:r w:rsidRPr="00D822C6">
        <w:rPr>
          <w:color w:val="000000"/>
        </w:rPr>
        <w:t>Sajó</w:t>
      </w:r>
      <w:proofErr w:type="spellEnd"/>
      <w:r w:rsidRPr="00D822C6">
        <w:rPr>
          <w:color w:val="000000"/>
        </w:rPr>
        <w:t xml:space="preserve">, A. (ed.), </w:t>
      </w:r>
      <w:r w:rsidRPr="00D822C6">
        <w:rPr>
          <w:i/>
          <w:iCs/>
          <w:color w:val="000000"/>
          <w:lang w:val="en-US"/>
        </w:rPr>
        <w:t>Militant Democracy</w:t>
      </w:r>
      <w:r w:rsidRPr="00D822C6">
        <w:rPr>
          <w:color w:val="000000"/>
          <w:lang w:val="en-US"/>
        </w:rPr>
        <w:t xml:space="preserve">, Eleven International Publishing, Utrecht, 2004, </w:t>
      </w:r>
      <w:r w:rsidRPr="00D822C6">
        <w:rPr>
          <w:color w:val="000000"/>
        </w:rPr>
        <w:t>pp.133-156.</w:t>
      </w:r>
    </w:p>
    <w:p w14:paraId="78C56314" w14:textId="77777777" w:rsidR="00930143" w:rsidRPr="00D822C6" w:rsidRDefault="00930143" w:rsidP="00930143">
      <w:pPr>
        <w:autoSpaceDE w:val="0"/>
        <w:autoSpaceDN w:val="0"/>
        <w:adjustRightInd w:val="0"/>
        <w:jc w:val="both"/>
        <w:rPr>
          <w:lang w:val="en-US"/>
        </w:rPr>
      </w:pPr>
    </w:p>
    <w:p w14:paraId="4776F08C" w14:textId="77777777" w:rsidR="00930143" w:rsidRPr="00D822C6" w:rsidRDefault="00930143" w:rsidP="00930143">
      <w:pPr>
        <w:autoSpaceDE w:val="0"/>
        <w:autoSpaceDN w:val="0"/>
        <w:adjustRightInd w:val="0"/>
        <w:jc w:val="both"/>
        <w:rPr>
          <w:color w:val="000000"/>
          <w:lang w:val="en-US"/>
        </w:rPr>
      </w:pPr>
      <w:r w:rsidRPr="00D822C6">
        <w:rPr>
          <w:color w:val="000000"/>
          <w:lang w:val="en-US"/>
        </w:rPr>
        <w:t xml:space="preserve">Fox, H.; Nolte, G., </w:t>
      </w:r>
      <w:r w:rsidRPr="00D822C6">
        <w:rPr>
          <w:i/>
          <w:iCs/>
          <w:color w:val="000000"/>
          <w:lang w:val="en-US"/>
        </w:rPr>
        <w:t>Intolerant Democracies</w:t>
      </w:r>
      <w:r w:rsidRPr="00D822C6">
        <w:rPr>
          <w:color w:val="000000"/>
          <w:lang w:val="en-US"/>
        </w:rPr>
        <w:t>, Harvard International Law Journal, vol.36, no.1,1995, pp.1-70;</w:t>
      </w:r>
    </w:p>
    <w:p w14:paraId="38F7157C" w14:textId="77777777" w:rsidR="00930143" w:rsidRPr="00D822C6" w:rsidRDefault="00930143" w:rsidP="00930143">
      <w:pPr>
        <w:autoSpaceDE w:val="0"/>
        <w:autoSpaceDN w:val="0"/>
        <w:adjustRightInd w:val="0"/>
        <w:jc w:val="both"/>
        <w:rPr>
          <w:color w:val="000000"/>
          <w:lang w:val="en-US"/>
        </w:rPr>
      </w:pPr>
    </w:p>
    <w:p w14:paraId="79FFFBBA" w14:textId="77777777" w:rsidR="00930143" w:rsidRPr="00D822C6" w:rsidRDefault="00930143" w:rsidP="00930143">
      <w:pPr>
        <w:pStyle w:val="FootnoteText"/>
        <w:jc w:val="both"/>
        <w:rPr>
          <w:sz w:val="24"/>
          <w:szCs w:val="24"/>
        </w:rPr>
      </w:pPr>
      <w:r w:rsidRPr="00D822C6">
        <w:rPr>
          <w:rFonts w:eastAsiaTheme="minorHAnsi"/>
          <w:sz w:val="24"/>
          <w:szCs w:val="24"/>
          <w:lang w:eastAsia="en-US"/>
        </w:rPr>
        <w:t xml:space="preserve">Ginsburg, T.; Huq, A., </w:t>
      </w:r>
      <w:r w:rsidRPr="00D822C6">
        <w:rPr>
          <w:rFonts w:eastAsiaTheme="minorHAnsi"/>
          <w:i/>
          <w:iCs/>
          <w:sz w:val="24"/>
          <w:szCs w:val="24"/>
          <w:lang w:eastAsia="en-US"/>
        </w:rPr>
        <w:t>How to Save a Constitutional Democracy</w:t>
      </w:r>
      <w:r w:rsidRPr="00D822C6">
        <w:rPr>
          <w:rFonts w:eastAsiaTheme="minorHAnsi"/>
          <w:sz w:val="24"/>
          <w:szCs w:val="24"/>
          <w:lang w:eastAsia="en-US"/>
        </w:rPr>
        <w:t>,</w:t>
      </w:r>
      <w:r w:rsidRPr="00D822C6">
        <w:rPr>
          <w:rFonts w:eastAsiaTheme="minorHAnsi"/>
          <w:sz w:val="24"/>
          <w:szCs w:val="24"/>
          <w:lang w:val="en-GB" w:eastAsia="en-US"/>
        </w:rPr>
        <w:t xml:space="preserve"> The University of Chicago Press, Chicago; London, 2018.</w:t>
      </w:r>
    </w:p>
    <w:p w14:paraId="6C690BEC" w14:textId="77777777" w:rsidR="00930143" w:rsidRPr="00D822C6" w:rsidRDefault="00930143" w:rsidP="00930143">
      <w:pPr>
        <w:autoSpaceDE w:val="0"/>
        <w:autoSpaceDN w:val="0"/>
        <w:adjustRightInd w:val="0"/>
        <w:jc w:val="both"/>
        <w:rPr>
          <w:shd w:val="clear" w:color="auto" w:fill="FFFFFF"/>
          <w:lang w:val="en-US"/>
        </w:rPr>
      </w:pPr>
    </w:p>
    <w:p w14:paraId="14FB5898" w14:textId="77777777" w:rsidR="00930143" w:rsidRPr="00D822C6" w:rsidRDefault="00930143" w:rsidP="00930143">
      <w:pPr>
        <w:autoSpaceDE w:val="0"/>
        <w:autoSpaceDN w:val="0"/>
        <w:adjustRightInd w:val="0"/>
        <w:jc w:val="both"/>
        <w:rPr>
          <w:rFonts w:eastAsiaTheme="minorHAnsi"/>
          <w:lang w:val="en-US" w:eastAsia="en-US"/>
        </w:rPr>
      </w:pPr>
      <w:r w:rsidRPr="00D822C6">
        <w:rPr>
          <w:shd w:val="clear" w:color="auto" w:fill="FFFFFF"/>
          <w:lang w:val="en-US"/>
        </w:rPr>
        <w:t xml:space="preserve">Ginsburg, T.; Huq, A., </w:t>
      </w:r>
      <w:r w:rsidRPr="00D822C6">
        <w:rPr>
          <w:rStyle w:val="Emphasis"/>
          <w:bdr w:val="none" w:sz="0" w:space="0" w:color="auto" w:frame="1"/>
          <w:shd w:val="clear" w:color="auto" w:fill="FFFFFF"/>
          <w:lang w:val="en-US"/>
        </w:rPr>
        <w:t>Democratic Erosion and Militant Democracy</w:t>
      </w:r>
      <w:r w:rsidRPr="00D822C6">
        <w:rPr>
          <w:shd w:val="clear" w:color="auto" w:fill="FFFFFF"/>
          <w:lang w:val="en-US"/>
        </w:rPr>
        <w:t xml:space="preserve">, International Journal of Constitutional Law Blog, 18 October 18, 2018, http://www.iconnectblog.com/2018/10/democratic-erosion-and-militant-democracy </w:t>
      </w:r>
      <w:r w:rsidRPr="00D822C6">
        <w:rPr>
          <w:rFonts w:eastAsiaTheme="minorHAnsi"/>
          <w:lang w:val="en-US" w:eastAsia="en-US"/>
        </w:rPr>
        <w:t>(28 June 2021).</w:t>
      </w:r>
    </w:p>
    <w:p w14:paraId="09827C70" w14:textId="77777777" w:rsidR="00930143" w:rsidRPr="00D822C6" w:rsidRDefault="00930143" w:rsidP="00930143">
      <w:pPr>
        <w:autoSpaceDE w:val="0"/>
        <w:autoSpaceDN w:val="0"/>
        <w:adjustRightInd w:val="0"/>
        <w:jc w:val="both"/>
        <w:rPr>
          <w:color w:val="000000"/>
          <w:lang w:val="en-US"/>
        </w:rPr>
      </w:pPr>
    </w:p>
    <w:p w14:paraId="6DEC9785" w14:textId="77777777" w:rsidR="00930143" w:rsidRPr="00D822C6" w:rsidRDefault="00930143" w:rsidP="00930143">
      <w:pPr>
        <w:jc w:val="both"/>
      </w:pPr>
      <w:proofErr w:type="spellStart"/>
      <w:r w:rsidRPr="002869A3">
        <w:rPr>
          <w:rFonts w:eastAsiaTheme="minorHAnsi"/>
          <w:lang w:eastAsia="en-US"/>
        </w:rPr>
        <w:t>Gorzelik</w:t>
      </w:r>
      <w:proofErr w:type="spellEnd"/>
      <w:r w:rsidRPr="002869A3">
        <w:rPr>
          <w:rFonts w:eastAsiaTheme="minorHAnsi"/>
          <w:lang w:eastAsia="en-US"/>
        </w:rPr>
        <w:t xml:space="preserve"> and Others v. Poland</w:t>
      </w:r>
      <w:r w:rsidRPr="00D822C6">
        <w:rPr>
          <w:rFonts w:eastAsiaTheme="minorHAnsi"/>
          <w:lang w:eastAsia="en-US"/>
        </w:rPr>
        <w:t xml:space="preserve">, App. no. </w:t>
      </w:r>
      <w:r w:rsidRPr="00D822C6">
        <w:rPr>
          <w:shd w:val="clear" w:color="auto" w:fill="FFFFFF"/>
        </w:rPr>
        <w:t>44158/98</w:t>
      </w:r>
      <w:r w:rsidRPr="00D822C6">
        <w:rPr>
          <w:rFonts w:eastAsiaTheme="minorHAnsi"/>
          <w:lang w:eastAsia="en-US"/>
        </w:rPr>
        <w:t>, Judgment of 17 February 2004.</w:t>
      </w:r>
    </w:p>
    <w:p w14:paraId="287DCA6B" w14:textId="77777777" w:rsidR="00930143" w:rsidRPr="00D822C6" w:rsidRDefault="00930143" w:rsidP="00930143">
      <w:pPr>
        <w:autoSpaceDE w:val="0"/>
        <w:autoSpaceDN w:val="0"/>
        <w:adjustRightInd w:val="0"/>
        <w:jc w:val="both"/>
        <w:rPr>
          <w:rFonts w:eastAsiaTheme="minorHAnsi"/>
          <w:lang w:eastAsia="en-US"/>
        </w:rPr>
      </w:pPr>
    </w:p>
    <w:p w14:paraId="7CCB4382" w14:textId="77777777" w:rsidR="00930143" w:rsidRPr="00D822C6" w:rsidRDefault="00930143" w:rsidP="00930143">
      <w:pPr>
        <w:autoSpaceDE w:val="0"/>
        <w:autoSpaceDN w:val="0"/>
        <w:adjustRightInd w:val="0"/>
        <w:jc w:val="both"/>
        <w:rPr>
          <w:rFonts w:eastAsiaTheme="minorHAnsi"/>
          <w:lang w:eastAsia="en-US"/>
        </w:rPr>
      </w:pPr>
      <w:r w:rsidRPr="00D822C6">
        <w:rPr>
          <w:rFonts w:eastAsiaTheme="minorHAnsi"/>
          <w:lang w:eastAsia="en-US"/>
        </w:rPr>
        <w:t xml:space="preserve">Holmes, S., </w:t>
      </w:r>
      <w:proofErr w:type="spellStart"/>
      <w:r w:rsidRPr="00D822C6">
        <w:rPr>
          <w:i/>
          <w:iCs/>
        </w:rPr>
        <w:t>András</w:t>
      </w:r>
      <w:proofErr w:type="spellEnd"/>
      <w:r w:rsidRPr="00D822C6">
        <w:rPr>
          <w:i/>
          <w:iCs/>
        </w:rPr>
        <w:t xml:space="preserve"> </w:t>
      </w:r>
      <w:proofErr w:type="spellStart"/>
      <w:r w:rsidRPr="00D822C6">
        <w:rPr>
          <w:i/>
          <w:iCs/>
        </w:rPr>
        <w:t>Sajó</w:t>
      </w:r>
      <w:proofErr w:type="spellEnd"/>
      <w:r w:rsidRPr="00D822C6">
        <w:rPr>
          <w:i/>
          <w:iCs/>
        </w:rPr>
        <w:t xml:space="preserve"> (ed.), </w:t>
      </w:r>
      <w:r w:rsidRPr="00D822C6">
        <w:rPr>
          <w:i/>
          <w:iCs/>
          <w:bdr w:val="none" w:sz="0" w:space="0" w:color="auto" w:frame="1"/>
        </w:rPr>
        <w:t>Militant</w:t>
      </w:r>
      <w:r w:rsidRPr="00D822C6">
        <w:rPr>
          <w:i/>
          <w:iCs/>
          <w:bdr w:val="none" w:sz="0" w:space="0" w:color="auto" w:frame="1"/>
          <w:lang w:val="en-US"/>
        </w:rPr>
        <w:t xml:space="preserve"> </w:t>
      </w:r>
      <w:r w:rsidRPr="00D822C6">
        <w:rPr>
          <w:i/>
          <w:iCs/>
          <w:bdr w:val="none" w:sz="0" w:space="0" w:color="auto" w:frame="1"/>
        </w:rPr>
        <w:t>Democracy</w:t>
      </w:r>
      <w:r w:rsidRPr="00D822C6">
        <w:rPr>
          <w:i/>
          <w:iCs/>
        </w:rPr>
        <w:t>. Eleven International Publishing, 2004. 262 pages</w:t>
      </w:r>
      <w:r w:rsidRPr="00D822C6">
        <w:rPr>
          <w:lang w:val="en-US"/>
        </w:rPr>
        <w:t xml:space="preserve">, </w:t>
      </w:r>
      <w:r w:rsidRPr="00D822C6">
        <w:rPr>
          <w:rFonts w:eastAsiaTheme="minorHAnsi"/>
          <w:lang w:eastAsia="en-US"/>
        </w:rPr>
        <w:t>International Journal of Constitutional Law, vol.4, no.3, 2006, pp.586-591.</w:t>
      </w:r>
    </w:p>
    <w:p w14:paraId="1CE9CDDC" w14:textId="77777777" w:rsidR="00930143" w:rsidRPr="00D822C6" w:rsidRDefault="00930143" w:rsidP="00930143">
      <w:pPr>
        <w:autoSpaceDE w:val="0"/>
        <w:autoSpaceDN w:val="0"/>
        <w:adjustRightInd w:val="0"/>
        <w:jc w:val="both"/>
        <w:rPr>
          <w:lang w:val="en-US"/>
        </w:rPr>
      </w:pPr>
    </w:p>
    <w:p w14:paraId="508B3FAC" w14:textId="77777777" w:rsidR="00930143" w:rsidRPr="00D822C6" w:rsidRDefault="00930143" w:rsidP="00930143">
      <w:pPr>
        <w:autoSpaceDE w:val="0"/>
        <w:autoSpaceDN w:val="0"/>
        <w:adjustRightInd w:val="0"/>
        <w:jc w:val="both"/>
        <w:rPr>
          <w:lang w:val="en-US"/>
        </w:rPr>
      </w:pPr>
      <w:proofErr w:type="spellStart"/>
      <w:r w:rsidRPr="00D822C6">
        <w:rPr>
          <w:lang w:val="en-US"/>
        </w:rPr>
        <w:t>Invernizzi</w:t>
      </w:r>
      <w:proofErr w:type="spellEnd"/>
      <w:r w:rsidRPr="00D822C6">
        <w:rPr>
          <w:lang w:val="en-US"/>
        </w:rPr>
        <w:t xml:space="preserve"> </w:t>
      </w:r>
      <w:proofErr w:type="spellStart"/>
      <w:r w:rsidRPr="00D822C6">
        <w:rPr>
          <w:lang w:val="en-US"/>
        </w:rPr>
        <w:t>Accetti</w:t>
      </w:r>
      <w:proofErr w:type="spellEnd"/>
      <w:r w:rsidRPr="00D822C6">
        <w:rPr>
          <w:lang w:val="en-US"/>
        </w:rPr>
        <w:t xml:space="preserve">, C.; </w:t>
      </w:r>
      <w:proofErr w:type="spellStart"/>
      <w:r w:rsidRPr="00D822C6">
        <w:rPr>
          <w:lang w:val="en-US"/>
        </w:rPr>
        <w:t>Zuckerman,I</w:t>
      </w:r>
      <w:proofErr w:type="spellEnd"/>
      <w:r w:rsidRPr="00D822C6">
        <w:rPr>
          <w:lang w:val="en-US"/>
        </w:rPr>
        <w:t xml:space="preserve">., </w:t>
      </w:r>
      <w:r w:rsidRPr="00D822C6">
        <w:rPr>
          <w:i/>
          <w:iCs/>
          <w:lang w:val="en-US"/>
        </w:rPr>
        <w:t>What’s Wrong with Militant Democracy?</w:t>
      </w:r>
      <w:r w:rsidRPr="00D822C6">
        <w:rPr>
          <w:lang w:val="en-US"/>
        </w:rPr>
        <w:t>, Political Studies,vol.65,no.1,2017,pp.182-199.</w:t>
      </w:r>
    </w:p>
    <w:p w14:paraId="09167FA8" w14:textId="77777777" w:rsidR="00930143" w:rsidRPr="00D822C6" w:rsidRDefault="00930143" w:rsidP="00930143">
      <w:pPr>
        <w:pStyle w:val="FootnoteText"/>
        <w:jc w:val="both"/>
        <w:rPr>
          <w:rFonts w:eastAsiaTheme="minorHAnsi"/>
          <w:sz w:val="24"/>
          <w:szCs w:val="24"/>
          <w:lang w:eastAsia="en-US"/>
        </w:rPr>
      </w:pPr>
    </w:p>
    <w:p w14:paraId="3F2BFF29" w14:textId="77777777" w:rsidR="00930143" w:rsidRPr="00D822C6" w:rsidRDefault="00930143" w:rsidP="00930143">
      <w:pPr>
        <w:pStyle w:val="FootnoteText"/>
        <w:jc w:val="both"/>
        <w:rPr>
          <w:sz w:val="24"/>
          <w:szCs w:val="24"/>
        </w:rPr>
      </w:pPr>
      <w:r w:rsidRPr="00D822C6">
        <w:rPr>
          <w:rFonts w:eastAsiaTheme="minorHAnsi"/>
          <w:sz w:val="24"/>
          <w:szCs w:val="24"/>
          <w:lang w:eastAsia="en-US"/>
        </w:rPr>
        <w:t xml:space="preserve">Issacharoff, S., </w:t>
      </w:r>
      <w:r w:rsidRPr="00D822C6">
        <w:rPr>
          <w:rFonts w:eastAsiaTheme="minorHAnsi"/>
          <w:i/>
          <w:iCs/>
          <w:sz w:val="24"/>
          <w:szCs w:val="24"/>
          <w:lang w:eastAsia="en-US"/>
        </w:rPr>
        <w:t>Fragile Democracies</w:t>
      </w:r>
      <w:r w:rsidRPr="00D822C6">
        <w:rPr>
          <w:rFonts w:eastAsiaTheme="minorHAnsi"/>
          <w:sz w:val="24"/>
          <w:szCs w:val="24"/>
          <w:lang w:eastAsia="en-US"/>
        </w:rPr>
        <w:t xml:space="preserve">, Harvard Law Review,vol.120, no. 6,2007, p.1405-1467. </w:t>
      </w:r>
    </w:p>
    <w:p w14:paraId="15E8AB67" w14:textId="77777777" w:rsidR="00930143" w:rsidRPr="00D822C6" w:rsidRDefault="00930143" w:rsidP="00930143">
      <w:pPr>
        <w:autoSpaceDE w:val="0"/>
        <w:autoSpaceDN w:val="0"/>
        <w:adjustRightInd w:val="0"/>
        <w:jc w:val="both"/>
        <w:rPr>
          <w:lang w:val="en-US"/>
        </w:rPr>
      </w:pPr>
    </w:p>
    <w:p w14:paraId="1A044A4A" w14:textId="77777777" w:rsidR="00930143" w:rsidRPr="00D822C6" w:rsidRDefault="00930143" w:rsidP="00930143">
      <w:pPr>
        <w:keepLines/>
        <w:autoSpaceDE w:val="0"/>
        <w:autoSpaceDN w:val="0"/>
        <w:adjustRightInd w:val="0"/>
        <w:jc w:val="both"/>
        <w:rPr>
          <w:rFonts w:eastAsiaTheme="minorHAnsi"/>
          <w:lang w:val="en-US" w:eastAsia="en-US"/>
        </w:rPr>
      </w:pPr>
      <w:proofErr w:type="spellStart"/>
      <w:r w:rsidRPr="00D822C6">
        <w:rPr>
          <w:rFonts w:eastAsiaTheme="minorHAnsi"/>
          <w:lang w:val="en-US" w:eastAsia="en-US"/>
        </w:rPr>
        <w:t>Jerg</w:t>
      </w:r>
      <w:proofErr w:type="spellEnd"/>
      <w:r w:rsidRPr="00D822C6">
        <w:rPr>
          <w:rFonts w:eastAsiaTheme="minorHAnsi"/>
          <w:lang w:val="en-US" w:eastAsia="en-US"/>
        </w:rPr>
        <w:t xml:space="preserve"> Gutmann, J.; Voigt,  S., </w:t>
      </w:r>
      <w:r w:rsidRPr="00D822C6">
        <w:rPr>
          <w:rFonts w:eastAsiaTheme="minorHAnsi"/>
          <w:i/>
          <w:iCs/>
          <w:lang w:val="en-US" w:eastAsia="en-US"/>
        </w:rPr>
        <w:t>Militant Constitutionalism: A Promising Concept to Make Constitutional Backsliding Less Likely?</w:t>
      </w:r>
      <w:r w:rsidRPr="00D822C6">
        <w:rPr>
          <w:rFonts w:eastAsiaTheme="minorHAnsi"/>
          <w:lang w:val="en-US" w:eastAsia="en-US"/>
        </w:rPr>
        <w:t xml:space="preserve">, Public Choice, 2021, https://link.springer.com/article/10.1007/s11127-021-00874-1#article-info </w:t>
      </w:r>
      <w:r w:rsidRPr="00D822C6">
        <w:t>(28 June 2021)</w:t>
      </w:r>
      <w:r>
        <w:t>.</w:t>
      </w:r>
      <w:r w:rsidRPr="00D822C6">
        <w:t xml:space="preserve"> </w:t>
      </w:r>
      <w:r w:rsidRPr="00D822C6">
        <w:rPr>
          <w:rFonts w:eastAsiaTheme="minorHAnsi"/>
          <w:lang w:val="en-US" w:eastAsia="en-US"/>
        </w:rPr>
        <w:t xml:space="preserve"> </w:t>
      </w:r>
    </w:p>
    <w:p w14:paraId="31A2B161" w14:textId="77777777" w:rsidR="00930143" w:rsidRPr="00D822C6" w:rsidRDefault="00930143" w:rsidP="00930143">
      <w:pPr>
        <w:jc w:val="both"/>
      </w:pPr>
    </w:p>
    <w:p w14:paraId="497BAE6E" w14:textId="77777777" w:rsidR="00930143" w:rsidRPr="00D822C6" w:rsidRDefault="00930143" w:rsidP="00930143">
      <w:pPr>
        <w:jc w:val="both"/>
        <w:rPr>
          <w:lang w:val="en-US"/>
        </w:rPr>
      </w:pPr>
      <w:proofErr w:type="spellStart"/>
      <w:r w:rsidRPr="00D822C6">
        <w:t>Kelsen</w:t>
      </w:r>
      <w:proofErr w:type="spellEnd"/>
      <w:r w:rsidRPr="00D822C6">
        <w:t xml:space="preserve">, H., </w:t>
      </w:r>
      <w:r w:rsidRPr="00D822C6">
        <w:rPr>
          <w:i/>
          <w:iCs/>
        </w:rPr>
        <w:t>The Essence and Value of Democ</w:t>
      </w:r>
      <w:r w:rsidRPr="00D822C6">
        <w:t xml:space="preserve">racy, </w:t>
      </w:r>
      <w:proofErr w:type="spellStart"/>
      <w:r w:rsidRPr="00D822C6">
        <w:rPr>
          <w:shd w:val="clear" w:color="auto" w:fill="FFFFFF"/>
        </w:rPr>
        <w:t>Urbinati</w:t>
      </w:r>
      <w:proofErr w:type="spellEnd"/>
      <w:r w:rsidRPr="00D822C6">
        <w:rPr>
          <w:shd w:val="clear" w:color="auto" w:fill="FFFFFF"/>
        </w:rPr>
        <w:t>,</w:t>
      </w:r>
      <w:r w:rsidRPr="00D822C6">
        <w:rPr>
          <w:shd w:val="clear" w:color="auto" w:fill="FFFFFF"/>
          <w:lang w:val="en-US"/>
        </w:rPr>
        <w:t xml:space="preserve"> N.;</w:t>
      </w:r>
      <w:r w:rsidRPr="00D822C6">
        <w:rPr>
          <w:shd w:val="clear" w:color="auto" w:fill="FFFFFF"/>
        </w:rPr>
        <w:t xml:space="preserve"> </w:t>
      </w:r>
      <w:proofErr w:type="spellStart"/>
      <w:r w:rsidRPr="00D822C6">
        <w:rPr>
          <w:shd w:val="clear" w:color="auto" w:fill="FFFFFF"/>
        </w:rPr>
        <w:t>Accetti</w:t>
      </w:r>
      <w:proofErr w:type="spellEnd"/>
      <w:r w:rsidRPr="00D822C6">
        <w:rPr>
          <w:shd w:val="clear" w:color="auto" w:fill="FFFFFF"/>
        </w:rPr>
        <w:t xml:space="preserve">, </w:t>
      </w:r>
      <w:r w:rsidRPr="00D822C6">
        <w:rPr>
          <w:shd w:val="clear" w:color="auto" w:fill="FFFFFF"/>
          <w:lang w:val="en-US"/>
        </w:rPr>
        <w:t>C.I. (eds),</w:t>
      </w:r>
      <w:r w:rsidRPr="00D822C6">
        <w:rPr>
          <w:shd w:val="clear" w:color="auto" w:fill="FFFFFF"/>
        </w:rPr>
        <w:t xml:space="preserve"> Graf,</w:t>
      </w:r>
      <w:r w:rsidRPr="00D822C6">
        <w:rPr>
          <w:shd w:val="clear" w:color="auto" w:fill="FFFFFF"/>
          <w:lang w:val="en-US"/>
        </w:rPr>
        <w:t>B. (transl.),</w:t>
      </w:r>
      <w:r w:rsidRPr="00D822C6">
        <w:rPr>
          <w:shd w:val="clear" w:color="auto" w:fill="FFFFFF"/>
        </w:rPr>
        <w:t xml:space="preserve"> </w:t>
      </w:r>
      <w:r w:rsidRPr="00D822C6">
        <w:rPr>
          <w:rStyle w:val="a-text-bold"/>
          <w:shd w:val="clear" w:color="auto" w:fill="FFFFFF"/>
        </w:rPr>
        <w:t> </w:t>
      </w:r>
      <w:r w:rsidRPr="00D822C6">
        <w:rPr>
          <w:shd w:val="clear" w:color="auto" w:fill="FFFFFF"/>
        </w:rPr>
        <w:t>Rowman &amp; Littlefield Publishers</w:t>
      </w:r>
      <w:r w:rsidRPr="00D822C6">
        <w:rPr>
          <w:shd w:val="clear" w:color="auto" w:fill="FFFFFF"/>
          <w:lang w:val="en-US"/>
        </w:rPr>
        <w:t xml:space="preserve">, 2013. </w:t>
      </w:r>
    </w:p>
    <w:p w14:paraId="28DF83C9" w14:textId="77777777" w:rsidR="00930143" w:rsidRPr="00D822C6" w:rsidRDefault="00930143" w:rsidP="00930143">
      <w:pPr>
        <w:pStyle w:val="FootnoteText"/>
        <w:jc w:val="both"/>
        <w:rPr>
          <w:sz w:val="24"/>
          <w:szCs w:val="24"/>
        </w:rPr>
      </w:pPr>
    </w:p>
    <w:p w14:paraId="21CF76FC" w14:textId="77777777" w:rsidR="00930143" w:rsidRPr="00D822C6" w:rsidRDefault="00930143" w:rsidP="00930143">
      <w:pPr>
        <w:jc w:val="both"/>
      </w:pPr>
      <w:r w:rsidRPr="002869A3">
        <w:rPr>
          <w:rStyle w:val="Emphasis"/>
          <w:i w:val="0"/>
          <w:iCs w:val="0"/>
          <w:shd w:val="clear" w:color="auto" w:fill="FFFFFF"/>
        </w:rPr>
        <w:t>Korematsu v</w:t>
      </w:r>
      <w:r w:rsidRPr="002869A3">
        <w:rPr>
          <w:i/>
          <w:iCs/>
          <w:shd w:val="clear" w:color="auto" w:fill="FFFFFF"/>
        </w:rPr>
        <w:t>. </w:t>
      </w:r>
      <w:r w:rsidRPr="002869A3">
        <w:rPr>
          <w:rStyle w:val="Emphasis"/>
          <w:i w:val="0"/>
          <w:iCs w:val="0"/>
          <w:shd w:val="clear" w:color="auto" w:fill="FFFFFF"/>
        </w:rPr>
        <w:t>United States</w:t>
      </w:r>
      <w:r w:rsidRPr="00D822C6">
        <w:rPr>
          <w:shd w:val="clear" w:color="auto" w:fill="FFFFFF"/>
        </w:rPr>
        <w:t>, 323 U.S. 214 (1944)</w:t>
      </w:r>
      <w:r w:rsidRPr="00D822C6">
        <w:rPr>
          <w:shd w:val="clear" w:color="auto" w:fill="FFFFFF"/>
          <w:lang w:val="en-US"/>
        </w:rPr>
        <w:t>.</w:t>
      </w:r>
      <w:r w:rsidRPr="00D822C6">
        <w:rPr>
          <w:shd w:val="clear" w:color="auto" w:fill="FFFFFF"/>
        </w:rPr>
        <w:t> </w:t>
      </w:r>
    </w:p>
    <w:p w14:paraId="2F146788" w14:textId="77777777" w:rsidR="00930143" w:rsidRPr="00D822C6" w:rsidRDefault="00930143" w:rsidP="00930143">
      <w:pPr>
        <w:pStyle w:val="FootnoteText"/>
        <w:jc w:val="both"/>
        <w:rPr>
          <w:sz w:val="24"/>
          <w:szCs w:val="24"/>
        </w:rPr>
      </w:pPr>
    </w:p>
    <w:p w14:paraId="3CD498E9" w14:textId="77777777" w:rsidR="00930143" w:rsidRPr="00D822C6" w:rsidRDefault="00930143" w:rsidP="00930143">
      <w:pPr>
        <w:pStyle w:val="FootnoteText"/>
        <w:jc w:val="both"/>
        <w:rPr>
          <w:sz w:val="24"/>
          <w:szCs w:val="24"/>
        </w:rPr>
      </w:pPr>
      <w:r w:rsidRPr="00D822C6">
        <w:rPr>
          <w:sz w:val="24"/>
          <w:szCs w:val="24"/>
        </w:rPr>
        <w:t xml:space="preserve">Landau, D.; </w:t>
      </w:r>
      <w:proofErr w:type="spellStart"/>
      <w:r w:rsidRPr="00D822C6">
        <w:rPr>
          <w:sz w:val="24"/>
          <w:szCs w:val="24"/>
        </w:rPr>
        <w:t>Dixon,R</w:t>
      </w:r>
      <w:proofErr w:type="spellEnd"/>
      <w:r w:rsidRPr="00D822C6">
        <w:rPr>
          <w:sz w:val="24"/>
          <w:szCs w:val="24"/>
        </w:rPr>
        <w:t xml:space="preserve">., </w:t>
      </w:r>
      <w:r w:rsidRPr="00D822C6">
        <w:rPr>
          <w:i/>
          <w:iCs/>
          <w:sz w:val="24"/>
          <w:szCs w:val="24"/>
        </w:rPr>
        <w:t>Abusive Judicial Review: Courts against Democracy</w:t>
      </w:r>
      <w:r w:rsidRPr="00D822C6">
        <w:rPr>
          <w:sz w:val="24"/>
          <w:szCs w:val="24"/>
        </w:rPr>
        <w:t>, U.C. Davis Law</w:t>
      </w:r>
      <w:r>
        <w:rPr>
          <w:sz w:val="24"/>
          <w:szCs w:val="24"/>
        </w:rPr>
        <w:t xml:space="preserve"> </w:t>
      </w:r>
      <w:r w:rsidRPr="00D822C6">
        <w:rPr>
          <w:sz w:val="24"/>
          <w:szCs w:val="24"/>
        </w:rPr>
        <w:t>Review, vol.53, no.3, 2020, pp.1313-1387.</w:t>
      </w:r>
    </w:p>
    <w:p w14:paraId="42FAE794" w14:textId="77777777" w:rsidR="00930143" w:rsidRPr="00D822C6" w:rsidRDefault="00930143" w:rsidP="00930143">
      <w:pPr>
        <w:autoSpaceDE w:val="0"/>
        <w:autoSpaceDN w:val="0"/>
        <w:adjustRightInd w:val="0"/>
        <w:jc w:val="both"/>
        <w:rPr>
          <w:lang w:val="en-US"/>
        </w:rPr>
      </w:pPr>
    </w:p>
    <w:p w14:paraId="2E92F6CD" w14:textId="77777777" w:rsidR="00930143" w:rsidRPr="00D822C6" w:rsidRDefault="00930143" w:rsidP="00930143">
      <w:pPr>
        <w:pStyle w:val="FootnoteText"/>
        <w:jc w:val="both"/>
        <w:rPr>
          <w:sz w:val="24"/>
          <w:szCs w:val="24"/>
        </w:rPr>
      </w:pPr>
      <w:proofErr w:type="spellStart"/>
      <w:r w:rsidRPr="002869A3">
        <w:rPr>
          <w:sz w:val="24"/>
          <w:szCs w:val="24"/>
        </w:rPr>
        <w:t>Lautsi</w:t>
      </w:r>
      <w:proofErr w:type="spellEnd"/>
      <w:r w:rsidRPr="002869A3">
        <w:rPr>
          <w:sz w:val="24"/>
          <w:szCs w:val="24"/>
        </w:rPr>
        <w:t xml:space="preserve"> and Others v. Italy</w:t>
      </w:r>
      <w:r w:rsidRPr="00D822C6">
        <w:rPr>
          <w:sz w:val="24"/>
          <w:szCs w:val="24"/>
        </w:rPr>
        <w:t>, App. no. 30814/06, Judgment of 18 March 2011.</w:t>
      </w:r>
    </w:p>
    <w:p w14:paraId="5712EEBD" w14:textId="77777777" w:rsidR="00930143" w:rsidRPr="00D822C6" w:rsidRDefault="00930143" w:rsidP="00930143">
      <w:pPr>
        <w:pStyle w:val="FootnoteText"/>
        <w:jc w:val="both"/>
        <w:rPr>
          <w:rFonts w:eastAsiaTheme="minorHAnsi"/>
          <w:i/>
          <w:iCs/>
          <w:sz w:val="24"/>
          <w:szCs w:val="24"/>
          <w:lang w:eastAsia="en-US"/>
        </w:rPr>
      </w:pPr>
    </w:p>
    <w:p w14:paraId="0C5DA174" w14:textId="77777777" w:rsidR="00930143" w:rsidRPr="00D822C6" w:rsidRDefault="00930143" w:rsidP="00930143">
      <w:pPr>
        <w:pStyle w:val="FootnoteText"/>
        <w:jc w:val="both"/>
        <w:rPr>
          <w:sz w:val="24"/>
          <w:szCs w:val="24"/>
        </w:rPr>
      </w:pPr>
      <w:r w:rsidRPr="002869A3">
        <w:rPr>
          <w:rFonts w:eastAsiaTheme="minorHAnsi"/>
          <w:sz w:val="24"/>
          <w:szCs w:val="24"/>
          <w:lang w:eastAsia="en-US"/>
        </w:rPr>
        <w:t xml:space="preserve">Leyla </w:t>
      </w:r>
      <w:proofErr w:type="spellStart"/>
      <w:r w:rsidRPr="002869A3">
        <w:rPr>
          <w:rFonts w:eastAsiaTheme="minorHAnsi"/>
          <w:sz w:val="24"/>
          <w:szCs w:val="24"/>
          <w:lang w:eastAsia="en-US"/>
        </w:rPr>
        <w:t>Şahin</w:t>
      </w:r>
      <w:proofErr w:type="spellEnd"/>
      <w:r w:rsidRPr="002869A3">
        <w:rPr>
          <w:rFonts w:eastAsiaTheme="minorHAnsi"/>
          <w:sz w:val="24"/>
          <w:szCs w:val="24"/>
          <w:lang w:eastAsia="en-US"/>
        </w:rPr>
        <w:t xml:space="preserve"> v. Turkey</w:t>
      </w:r>
      <w:r w:rsidRPr="00D822C6">
        <w:rPr>
          <w:rFonts w:eastAsiaTheme="minorHAnsi"/>
          <w:sz w:val="24"/>
          <w:szCs w:val="24"/>
          <w:lang w:eastAsia="en-US"/>
        </w:rPr>
        <w:t>, App. no. 44774/98, Judgment of 10 November 2005.</w:t>
      </w:r>
    </w:p>
    <w:p w14:paraId="7F079BFB" w14:textId="77777777" w:rsidR="00930143" w:rsidRPr="00D822C6" w:rsidRDefault="00930143" w:rsidP="00930143">
      <w:pPr>
        <w:pStyle w:val="FootnoteText"/>
        <w:keepLines/>
        <w:jc w:val="both"/>
        <w:rPr>
          <w:sz w:val="24"/>
          <w:szCs w:val="24"/>
          <w:lang w:val="uz-Cyrl-UZ"/>
        </w:rPr>
      </w:pPr>
    </w:p>
    <w:p w14:paraId="61F7D8E7" w14:textId="77777777" w:rsidR="00930143" w:rsidRPr="00D822C6" w:rsidRDefault="00930143" w:rsidP="00930143">
      <w:pPr>
        <w:pStyle w:val="FootnoteText"/>
        <w:keepLines/>
        <w:jc w:val="both"/>
        <w:rPr>
          <w:sz w:val="24"/>
          <w:szCs w:val="24"/>
        </w:rPr>
      </w:pPr>
      <w:r w:rsidRPr="00D822C6">
        <w:rPr>
          <w:sz w:val="24"/>
          <w:szCs w:val="24"/>
          <w:lang w:val="uz-Cyrl-UZ"/>
        </w:rPr>
        <w:t>Loewenstein,</w:t>
      </w:r>
      <w:r w:rsidRPr="00D822C6">
        <w:rPr>
          <w:sz w:val="24"/>
          <w:szCs w:val="24"/>
        </w:rPr>
        <w:t xml:space="preserve"> K.,</w:t>
      </w:r>
      <w:r w:rsidRPr="00D822C6">
        <w:rPr>
          <w:sz w:val="24"/>
          <w:szCs w:val="24"/>
          <w:lang w:val="uz-Cyrl-UZ"/>
        </w:rPr>
        <w:t xml:space="preserve"> </w:t>
      </w:r>
      <w:r w:rsidRPr="00D822C6">
        <w:rPr>
          <w:i/>
          <w:iCs/>
          <w:sz w:val="24"/>
          <w:szCs w:val="24"/>
          <w:lang w:val="uz-Cyrl-UZ"/>
        </w:rPr>
        <w:t>Militant Democracy and Fundamental Rights</w:t>
      </w:r>
      <w:r w:rsidRPr="00D822C6">
        <w:rPr>
          <w:i/>
          <w:iCs/>
          <w:sz w:val="24"/>
          <w:szCs w:val="24"/>
        </w:rPr>
        <w:t xml:space="preserve"> I</w:t>
      </w:r>
      <w:r w:rsidRPr="00D822C6">
        <w:rPr>
          <w:sz w:val="24"/>
          <w:szCs w:val="24"/>
        </w:rPr>
        <w:t xml:space="preserve">, </w:t>
      </w:r>
      <w:r w:rsidRPr="00D822C6">
        <w:rPr>
          <w:iCs/>
          <w:sz w:val="24"/>
          <w:szCs w:val="24"/>
          <w:lang w:val="uz-Cyrl-UZ"/>
        </w:rPr>
        <w:t>The American Political Science Review</w:t>
      </w:r>
      <w:r w:rsidRPr="00D822C6">
        <w:rPr>
          <w:i/>
          <w:iCs/>
          <w:sz w:val="24"/>
          <w:szCs w:val="24"/>
          <w:lang w:val="uz-Cyrl-UZ"/>
        </w:rPr>
        <w:t xml:space="preserve">, </w:t>
      </w:r>
      <w:r w:rsidRPr="00D822C6">
        <w:rPr>
          <w:sz w:val="24"/>
          <w:szCs w:val="24"/>
        </w:rPr>
        <w:t>v</w:t>
      </w:r>
      <w:r w:rsidRPr="00D822C6">
        <w:rPr>
          <w:sz w:val="24"/>
          <w:szCs w:val="24"/>
          <w:lang w:val="uz-Cyrl-UZ"/>
        </w:rPr>
        <w:t xml:space="preserve">ol.31, </w:t>
      </w:r>
      <w:r w:rsidRPr="00D822C6">
        <w:rPr>
          <w:sz w:val="24"/>
          <w:szCs w:val="24"/>
        </w:rPr>
        <w:t>n</w:t>
      </w:r>
      <w:r w:rsidRPr="00D822C6">
        <w:rPr>
          <w:sz w:val="24"/>
          <w:szCs w:val="24"/>
          <w:lang w:val="uz-Cyrl-UZ"/>
        </w:rPr>
        <w:t>o.3,1937, pp.417-432</w:t>
      </w:r>
      <w:r>
        <w:rPr>
          <w:sz w:val="24"/>
          <w:szCs w:val="24"/>
        </w:rPr>
        <w:t>.</w:t>
      </w:r>
      <w:r w:rsidRPr="00D822C6">
        <w:rPr>
          <w:sz w:val="24"/>
          <w:szCs w:val="24"/>
        </w:rPr>
        <w:t xml:space="preserve"> </w:t>
      </w:r>
    </w:p>
    <w:p w14:paraId="7C490555" w14:textId="77777777" w:rsidR="00930143" w:rsidRPr="00D822C6" w:rsidRDefault="00930143" w:rsidP="00930143">
      <w:pPr>
        <w:pStyle w:val="FootnoteText"/>
        <w:keepLines/>
        <w:jc w:val="both"/>
        <w:rPr>
          <w:sz w:val="24"/>
          <w:szCs w:val="24"/>
          <w:lang w:val="uz-Cyrl-UZ"/>
        </w:rPr>
      </w:pPr>
    </w:p>
    <w:p w14:paraId="185E91E8" w14:textId="77777777" w:rsidR="00930143" w:rsidRPr="00D822C6" w:rsidRDefault="00930143" w:rsidP="00930143">
      <w:pPr>
        <w:pStyle w:val="FootnoteText"/>
        <w:keepLines/>
        <w:jc w:val="both"/>
        <w:rPr>
          <w:sz w:val="24"/>
          <w:szCs w:val="24"/>
        </w:rPr>
      </w:pPr>
      <w:r w:rsidRPr="00D822C6">
        <w:rPr>
          <w:sz w:val="24"/>
          <w:szCs w:val="24"/>
          <w:lang w:val="uz-Cyrl-UZ"/>
        </w:rPr>
        <w:t>Loewenstein,</w:t>
      </w:r>
      <w:r w:rsidRPr="00D822C6">
        <w:rPr>
          <w:sz w:val="24"/>
          <w:szCs w:val="24"/>
        </w:rPr>
        <w:t>K.,</w:t>
      </w:r>
      <w:r w:rsidRPr="00D822C6">
        <w:rPr>
          <w:i/>
          <w:iCs/>
          <w:sz w:val="24"/>
          <w:szCs w:val="24"/>
          <w:lang w:val="uz-Cyrl-UZ"/>
        </w:rPr>
        <w:t>Militant Democracy and Fundamental Rights</w:t>
      </w:r>
      <w:r w:rsidRPr="00D822C6">
        <w:rPr>
          <w:i/>
          <w:iCs/>
          <w:sz w:val="24"/>
          <w:szCs w:val="24"/>
        </w:rPr>
        <w:t xml:space="preserve"> II</w:t>
      </w:r>
      <w:r w:rsidRPr="00D822C6">
        <w:rPr>
          <w:sz w:val="24"/>
          <w:szCs w:val="24"/>
        </w:rPr>
        <w:t xml:space="preserve">, </w:t>
      </w:r>
      <w:r w:rsidRPr="00D822C6">
        <w:rPr>
          <w:iCs/>
          <w:sz w:val="24"/>
          <w:szCs w:val="24"/>
          <w:lang w:val="uz-Cyrl-UZ"/>
        </w:rPr>
        <w:t>The American Political Science Review</w:t>
      </w:r>
      <w:r w:rsidRPr="00D822C6">
        <w:rPr>
          <w:i/>
          <w:iCs/>
          <w:sz w:val="24"/>
          <w:szCs w:val="24"/>
          <w:lang w:val="uz-Cyrl-UZ"/>
        </w:rPr>
        <w:t xml:space="preserve">, </w:t>
      </w:r>
      <w:r w:rsidRPr="00D822C6">
        <w:rPr>
          <w:sz w:val="24"/>
          <w:szCs w:val="24"/>
        </w:rPr>
        <w:t>v</w:t>
      </w:r>
      <w:r w:rsidRPr="00D822C6">
        <w:rPr>
          <w:sz w:val="24"/>
          <w:szCs w:val="24"/>
          <w:lang w:val="uz-Cyrl-UZ"/>
        </w:rPr>
        <w:t xml:space="preserve">ol.31, </w:t>
      </w:r>
      <w:r w:rsidRPr="00D822C6">
        <w:rPr>
          <w:sz w:val="24"/>
          <w:szCs w:val="24"/>
        </w:rPr>
        <w:t>n</w:t>
      </w:r>
      <w:r w:rsidRPr="00D822C6">
        <w:rPr>
          <w:sz w:val="24"/>
          <w:szCs w:val="24"/>
          <w:lang w:val="uz-Cyrl-UZ"/>
        </w:rPr>
        <w:t>o.4,1937,pp.638-658</w:t>
      </w:r>
      <w:r>
        <w:rPr>
          <w:sz w:val="24"/>
          <w:szCs w:val="24"/>
        </w:rPr>
        <w:t>.</w:t>
      </w:r>
    </w:p>
    <w:p w14:paraId="7F1026DA" w14:textId="77777777" w:rsidR="00930143" w:rsidRPr="00D822C6" w:rsidRDefault="00930143" w:rsidP="00930143">
      <w:pPr>
        <w:autoSpaceDE w:val="0"/>
        <w:autoSpaceDN w:val="0"/>
        <w:adjustRightInd w:val="0"/>
        <w:jc w:val="both"/>
        <w:rPr>
          <w:lang w:val="en-US"/>
        </w:rPr>
      </w:pPr>
    </w:p>
    <w:p w14:paraId="62927817" w14:textId="77777777" w:rsidR="00586838" w:rsidRDefault="00930143" w:rsidP="00586838">
      <w:pPr>
        <w:pStyle w:val="FootnoteText"/>
        <w:jc w:val="both"/>
        <w:rPr>
          <w:sz w:val="24"/>
          <w:szCs w:val="24"/>
        </w:rPr>
      </w:pPr>
      <w:proofErr w:type="spellStart"/>
      <w:r w:rsidRPr="00D822C6">
        <w:rPr>
          <w:rFonts w:eastAsiaTheme="minorHAnsi"/>
          <w:sz w:val="24"/>
          <w:szCs w:val="24"/>
          <w:lang w:eastAsia="en-US"/>
        </w:rPr>
        <w:t>Macklem</w:t>
      </w:r>
      <w:proofErr w:type="spellEnd"/>
      <w:r w:rsidRPr="00D822C6">
        <w:rPr>
          <w:rFonts w:eastAsiaTheme="minorHAnsi"/>
          <w:sz w:val="24"/>
          <w:szCs w:val="24"/>
          <w:lang w:eastAsia="en-US"/>
        </w:rPr>
        <w:t>, P.</w:t>
      </w:r>
      <w:r w:rsidRPr="00D822C6">
        <w:rPr>
          <w:sz w:val="24"/>
          <w:szCs w:val="24"/>
        </w:rPr>
        <w:t xml:space="preserve">, </w:t>
      </w:r>
      <w:r w:rsidRPr="00D822C6">
        <w:rPr>
          <w:i/>
          <w:iCs/>
          <w:sz w:val="24"/>
          <w:szCs w:val="24"/>
        </w:rPr>
        <w:t>Guarding the Perimeter: Militant Democracy and Religious Freedom in Europe</w:t>
      </w:r>
      <w:r w:rsidRPr="00D822C6">
        <w:rPr>
          <w:sz w:val="24"/>
          <w:szCs w:val="24"/>
        </w:rPr>
        <w:t xml:space="preserve">, Constellations, vol.19, no.4, 2012, pp.575-590. </w:t>
      </w:r>
    </w:p>
    <w:p w14:paraId="1AB0C132" w14:textId="458A37FB" w:rsidR="00930143" w:rsidRPr="00D822C6" w:rsidRDefault="00930143" w:rsidP="00586838">
      <w:pPr>
        <w:pStyle w:val="FootnoteText"/>
        <w:jc w:val="both"/>
        <w:rPr>
          <w:sz w:val="24"/>
          <w:szCs w:val="24"/>
        </w:rPr>
      </w:pPr>
      <w:proofErr w:type="spellStart"/>
      <w:r w:rsidRPr="00D822C6">
        <w:rPr>
          <w:sz w:val="24"/>
          <w:szCs w:val="24"/>
        </w:rPr>
        <w:lastRenderedPageBreak/>
        <w:t>Malkopoulou</w:t>
      </w:r>
      <w:proofErr w:type="spellEnd"/>
      <w:r w:rsidRPr="00D822C6">
        <w:rPr>
          <w:sz w:val="24"/>
          <w:szCs w:val="24"/>
        </w:rPr>
        <w:t xml:space="preserve">, A.; Kirshner, A., </w:t>
      </w:r>
      <w:r w:rsidRPr="00D822C6">
        <w:rPr>
          <w:i/>
          <w:iCs/>
          <w:sz w:val="24"/>
          <w:szCs w:val="24"/>
        </w:rPr>
        <w:t>Militant Democracy and Its Critics: Populism, Parties, Extremism</w:t>
      </w:r>
      <w:r w:rsidRPr="00D822C6">
        <w:rPr>
          <w:sz w:val="24"/>
          <w:szCs w:val="24"/>
        </w:rPr>
        <w:t xml:space="preserve">, Edinburgh University Press,Edinburgh,2019. </w:t>
      </w:r>
    </w:p>
    <w:p w14:paraId="09F06665" w14:textId="77777777" w:rsidR="00930143" w:rsidRPr="00D822C6" w:rsidRDefault="00930143" w:rsidP="00930143">
      <w:pPr>
        <w:autoSpaceDE w:val="0"/>
        <w:autoSpaceDN w:val="0"/>
        <w:adjustRightInd w:val="0"/>
        <w:jc w:val="both"/>
        <w:rPr>
          <w:color w:val="000000"/>
          <w:lang w:val="en-US"/>
        </w:rPr>
      </w:pPr>
    </w:p>
    <w:p w14:paraId="6694F240" w14:textId="77777777" w:rsidR="00930143" w:rsidRPr="00D822C6" w:rsidRDefault="00930143" w:rsidP="00930143">
      <w:pPr>
        <w:autoSpaceDE w:val="0"/>
        <w:autoSpaceDN w:val="0"/>
        <w:adjustRightInd w:val="0"/>
        <w:jc w:val="both"/>
        <w:rPr>
          <w:color w:val="000000"/>
          <w:lang w:val="en-US"/>
        </w:rPr>
      </w:pPr>
      <w:proofErr w:type="spellStart"/>
      <w:r w:rsidRPr="00D822C6">
        <w:rPr>
          <w:color w:val="000000"/>
          <w:lang w:val="en-US"/>
        </w:rPr>
        <w:t>Malkopoulou</w:t>
      </w:r>
      <w:proofErr w:type="spellEnd"/>
      <w:r w:rsidRPr="00D822C6">
        <w:rPr>
          <w:color w:val="000000"/>
          <w:lang w:val="en-US"/>
        </w:rPr>
        <w:t xml:space="preserve">, A.; Norman, L., </w:t>
      </w:r>
      <w:r w:rsidRPr="00D822C6">
        <w:rPr>
          <w:i/>
          <w:iCs/>
          <w:color w:val="000000"/>
          <w:lang w:val="en-US"/>
        </w:rPr>
        <w:t>Three Models of Democratic Self-Defense: Militant Democracy and its Alternatives</w:t>
      </w:r>
      <w:r w:rsidRPr="00D822C6">
        <w:rPr>
          <w:color w:val="000000"/>
          <w:lang w:val="en-US"/>
        </w:rPr>
        <w:t xml:space="preserve">, Political Studies, vol.66, no.2, 2018, pp.442–458. </w:t>
      </w:r>
    </w:p>
    <w:p w14:paraId="7B1E7EFA" w14:textId="77777777" w:rsidR="00930143" w:rsidRPr="00D822C6" w:rsidRDefault="00930143" w:rsidP="00930143">
      <w:pPr>
        <w:autoSpaceDE w:val="0"/>
        <w:autoSpaceDN w:val="0"/>
        <w:adjustRightInd w:val="0"/>
        <w:jc w:val="both"/>
        <w:rPr>
          <w:lang w:val="en-US"/>
        </w:rPr>
      </w:pPr>
    </w:p>
    <w:p w14:paraId="5BFA3514" w14:textId="77777777" w:rsidR="00930143" w:rsidRPr="00D822C6" w:rsidRDefault="00930143" w:rsidP="00930143">
      <w:pPr>
        <w:pStyle w:val="FootnoteText"/>
        <w:jc w:val="both"/>
        <w:rPr>
          <w:sz w:val="24"/>
          <w:szCs w:val="24"/>
        </w:rPr>
      </w:pPr>
      <w:r w:rsidRPr="00D822C6">
        <w:rPr>
          <w:sz w:val="24"/>
          <w:szCs w:val="24"/>
        </w:rPr>
        <w:t xml:space="preserve">Mancini, S.; Rosenfeld, M., </w:t>
      </w:r>
      <w:r w:rsidRPr="00D822C6">
        <w:rPr>
          <w:i/>
          <w:iCs/>
          <w:sz w:val="24"/>
          <w:szCs w:val="24"/>
        </w:rPr>
        <w:t>Nationalism, Populism, Religion, and the Quest to Reframe Fundamental Rights</w:t>
      </w:r>
      <w:r w:rsidRPr="00D822C6">
        <w:rPr>
          <w:sz w:val="24"/>
          <w:szCs w:val="24"/>
        </w:rPr>
        <w:t>,2021, p.3, https://papers.ssrn.com/sol3/papers.cfm?abstract_id=3677401 (28 June 2021)</w:t>
      </w:r>
      <w:r>
        <w:rPr>
          <w:sz w:val="24"/>
          <w:szCs w:val="24"/>
        </w:rPr>
        <w:t>.</w:t>
      </w:r>
      <w:r w:rsidRPr="00D822C6">
        <w:rPr>
          <w:sz w:val="24"/>
          <w:szCs w:val="24"/>
        </w:rPr>
        <w:t xml:space="preserve"> </w:t>
      </w:r>
    </w:p>
    <w:p w14:paraId="28D32EA3" w14:textId="77777777" w:rsidR="00930143" w:rsidRPr="00D822C6" w:rsidRDefault="00930143" w:rsidP="00930143">
      <w:pPr>
        <w:autoSpaceDE w:val="0"/>
        <w:autoSpaceDN w:val="0"/>
        <w:adjustRightInd w:val="0"/>
        <w:jc w:val="both"/>
      </w:pPr>
    </w:p>
    <w:p w14:paraId="48B0EC0C" w14:textId="77777777" w:rsidR="00930143" w:rsidRPr="00D822C6" w:rsidRDefault="00930143" w:rsidP="00930143">
      <w:pPr>
        <w:autoSpaceDE w:val="0"/>
        <w:autoSpaceDN w:val="0"/>
        <w:adjustRightInd w:val="0"/>
        <w:jc w:val="both"/>
        <w:rPr>
          <w:rFonts w:eastAsiaTheme="minorHAnsi"/>
          <w:lang w:val="en-US" w:eastAsia="en-US"/>
        </w:rPr>
      </w:pPr>
      <w:proofErr w:type="spellStart"/>
      <w:r w:rsidRPr="00D822C6">
        <w:rPr>
          <w:lang w:val="en-US"/>
        </w:rPr>
        <w:t>Mancini,S</w:t>
      </w:r>
      <w:proofErr w:type="spellEnd"/>
      <w:r w:rsidRPr="00D822C6">
        <w:rPr>
          <w:lang w:val="en-US"/>
        </w:rPr>
        <w:t>.,</w:t>
      </w:r>
      <w:r w:rsidRPr="00D822C6">
        <w:rPr>
          <w:rFonts w:eastAsiaTheme="minorHAnsi"/>
          <w:lang w:val="en-US" w:eastAsia="en-US"/>
        </w:rPr>
        <w:t xml:space="preserve"> </w:t>
      </w:r>
      <w:r w:rsidRPr="00D822C6">
        <w:rPr>
          <w:rFonts w:eastAsiaTheme="minorHAnsi"/>
          <w:i/>
          <w:iCs/>
          <w:lang w:val="en-US" w:eastAsia="en-US"/>
        </w:rPr>
        <w:t>European Law and the Veil: Muslim Women from Victims to Emblems of the Enemy</w:t>
      </w:r>
      <w:r w:rsidRPr="00D822C6">
        <w:rPr>
          <w:rFonts w:eastAsiaTheme="minorHAnsi"/>
          <w:lang w:val="en-US" w:eastAsia="en-US"/>
        </w:rPr>
        <w:t xml:space="preserve">, in: </w:t>
      </w:r>
      <w:proofErr w:type="spellStart"/>
      <w:r w:rsidRPr="00D822C6">
        <w:rPr>
          <w:rFonts w:eastAsiaTheme="minorHAnsi"/>
          <w:lang w:val="en-US" w:eastAsia="en-US"/>
        </w:rPr>
        <w:t>Melloni</w:t>
      </w:r>
      <w:proofErr w:type="spellEnd"/>
      <w:r w:rsidRPr="00D822C6">
        <w:rPr>
          <w:rFonts w:eastAsiaTheme="minorHAnsi"/>
          <w:lang w:val="en-US" w:eastAsia="en-US"/>
        </w:rPr>
        <w:t xml:space="preserve">, A.; </w:t>
      </w:r>
      <w:proofErr w:type="spellStart"/>
      <w:r w:rsidRPr="00D822C6">
        <w:rPr>
          <w:rFonts w:eastAsiaTheme="minorHAnsi"/>
          <w:lang w:val="en-US" w:eastAsia="en-US"/>
        </w:rPr>
        <w:t>Cadeddu</w:t>
      </w:r>
      <w:proofErr w:type="spellEnd"/>
      <w:r w:rsidRPr="00D822C6">
        <w:rPr>
          <w:rFonts w:eastAsiaTheme="minorHAnsi"/>
          <w:lang w:val="en-US" w:eastAsia="en-US"/>
        </w:rPr>
        <w:t xml:space="preserve">, F. (eds.), </w:t>
      </w:r>
      <w:r w:rsidRPr="00D822C6">
        <w:rPr>
          <w:rFonts w:eastAsiaTheme="minorHAnsi"/>
          <w:i/>
          <w:iCs/>
          <w:lang w:val="en-US" w:eastAsia="en-US"/>
        </w:rPr>
        <w:t>Religious Literacy, Law and History: Perspectives on European Pluralistic Societies</w:t>
      </w:r>
      <w:r w:rsidRPr="00D822C6">
        <w:rPr>
          <w:rFonts w:eastAsiaTheme="minorHAnsi"/>
          <w:lang w:val="en-US" w:eastAsia="en-US"/>
        </w:rPr>
        <w:t xml:space="preserve">, Routledge, London, New York, 2019, p.127-136. </w:t>
      </w:r>
    </w:p>
    <w:p w14:paraId="465C511D" w14:textId="77777777" w:rsidR="00930143" w:rsidRPr="00D822C6" w:rsidRDefault="00930143" w:rsidP="00930143">
      <w:pPr>
        <w:autoSpaceDE w:val="0"/>
        <w:autoSpaceDN w:val="0"/>
        <w:adjustRightInd w:val="0"/>
        <w:jc w:val="both"/>
      </w:pPr>
    </w:p>
    <w:p w14:paraId="5EA0ADAF" w14:textId="77777777" w:rsidR="00930143" w:rsidRPr="00D822C6" w:rsidRDefault="00930143" w:rsidP="00930143">
      <w:pPr>
        <w:autoSpaceDE w:val="0"/>
        <w:autoSpaceDN w:val="0"/>
        <w:adjustRightInd w:val="0"/>
        <w:jc w:val="both"/>
        <w:rPr>
          <w:lang w:val="en-US"/>
        </w:rPr>
      </w:pPr>
      <w:r w:rsidRPr="00D822C6">
        <w:t xml:space="preserve">Mancini, S., </w:t>
      </w:r>
      <w:r w:rsidRPr="00D822C6">
        <w:rPr>
          <w:i/>
          <w:iCs/>
        </w:rPr>
        <w:t xml:space="preserve">The Tempting of Europe, the Political Seduction of the Cross: A </w:t>
      </w:r>
      <w:proofErr w:type="spellStart"/>
      <w:r w:rsidRPr="00D822C6">
        <w:rPr>
          <w:i/>
          <w:iCs/>
        </w:rPr>
        <w:t>Schmittian</w:t>
      </w:r>
      <w:proofErr w:type="spellEnd"/>
      <w:r w:rsidRPr="00D822C6">
        <w:rPr>
          <w:i/>
          <w:iCs/>
        </w:rPr>
        <w:t xml:space="preserve"> Reading of Christianity and Islam in European Constitutionalism</w:t>
      </w:r>
      <w:r w:rsidRPr="00D822C6">
        <w:t xml:space="preserve">, in: Mancini, S.; Rosenfeld, M. (eds.), </w:t>
      </w:r>
      <w:r w:rsidRPr="00D822C6">
        <w:rPr>
          <w:i/>
          <w:iCs/>
        </w:rPr>
        <w:t>Constitutional Secularism in an Age of Religious Revival</w:t>
      </w:r>
      <w:r w:rsidRPr="00D822C6">
        <w:t>, Oxford University Press, Oxford, 2014, p.111-135.</w:t>
      </w:r>
    </w:p>
    <w:p w14:paraId="5533FED8" w14:textId="77777777" w:rsidR="00930143" w:rsidRPr="00D822C6" w:rsidRDefault="00930143" w:rsidP="00930143">
      <w:pPr>
        <w:autoSpaceDE w:val="0"/>
        <w:autoSpaceDN w:val="0"/>
        <w:adjustRightInd w:val="0"/>
        <w:jc w:val="both"/>
        <w:rPr>
          <w:lang w:val="en-US"/>
        </w:rPr>
      </w:pPr>
    </w:p>
    <w:p w14:paraId="46C4905E" w14:textId="77777777" w:rsidR="00930143" w:rsidRPr="00D822C6" w:rsidRDefault="00930143" w:rsidP="00930143">
      <w:pPr>
        <w:autoSpaceDE w:val="0"/>
        <w:autoSpaceDN w:val="0"/>
        <w:adjustRightInd w:val="0"/>
        <w:jc w:val="both"/>
        <w:rPr>
          <w:lang w:val="en-US"/>
        </w:rPr>
      </w:pPr>
      <w:r w:rsidRPr="00D822C6">
        <w:rPr>
          <w:lang w:val="en-US"/>
        </w:rPr>
        <w:t xml:space="preserve">Markus, T., (ed.), </w:t>
      </w:r>
      <w:r w:rsidRPr="00D822C6">
        <w:rPr>
          <w:i/>
          <w:iCs/>
          <w:lang w:val="en-US"/>
        </w:rPr>
        <w:t>The ‘Militant Democracy’ Principle in Modern Democracies</w:t>
      </w:r>
      <w:r w:rsidRPr="00D822C6">
        <w:rPr>
          <w:lang w:val="en-US"/>
        </w:rPr>
        <w:t>, Ashgate Publishing Limited, Farnham, Burlington,2009.</w:t>
      </w:r>
    </w:p>
    <w:p w14:paraId="7DE32F33" w14:textId="77777777" w:rsidR="00930143" w:rsidRPr="00D822C6" w:rsidRDefault="00930143" w:rsidP="00930143">
      <w:pPr>
        <w:keepLines/>
        <w:jc w:val="both"/>
        <w:rPr>
          <w:rFonts w:eastAsiaTheme="minorHAnsi"/>
          <w:lang w:val="en-US" w:eastAsia="en-US"/>
        </w:rPr>
      </w:pPr>
    </w:p>
    <w:p w14:paraId="0F96BB8E" w14:textId="77777777" w:rsidR="00930143" w:rsidRPr="00D822C6" w:rsidRDefault="00930143" w:rsidP="00930143">
      <w:pPr>
        <w:keepLines/>
        <w:jc w:val="both"/>
        <w:rPr>
          <w:rFonts w:eastAsiaTheme="minorHAnsi"/>
          <w:lang w:val="en-US" w:eastAsia="en-US"/>
        </w:rPr>
      </w:pPr>
      <w:proofErr w:type="spellStart"/>
      <w:r w:rsidRPr="00D822C6">
        <w:rPr>
          <w:rFonts w:eastAsiaTheme="minorHAnsi"/>
          <w:lang w:val="en-US" w:eastAsia="en-US"/>
        </w:rPr>
        <w:t>Mudde</w:t>
      </w:r>
      <w:proofErr w:type="spellEnd"/>
      <w:r w:rsidRPr="00D822C6">
        <w:rPr>
          <w:rFonts w:eastAsiaTheme="minorHAnsi"/>
          <w:lang w:val="en-US" w:eastAsia="en-US"/>
        </w:rPr>
        <w:t xml:space="preserve">, C., </w:t>
      </w:r>
      <w:r w:rsidRPr="00D822C6">
        <w:rPr>
          <w:rFonts w:eastAsiaTheme="minorHAnsi"/>
          <w:i/>
          <w:iCs/>
          <w:lang w:val="en-US" w:eastAsia="en-US"/>
        </w:rPr>
        <w:t>Populism and Constitutionalism: Theory and Practice</w:t>
      </w:r>
      <w:r w:rsidRPr="00D822C6">
        <w:rPr>
          <w:rFonts w:eastAsiaTheme="minorHAnsi"/>
          <w:lang w:val="en-US" w:eastAsia="en-US"/>
        </w:rPr>
        <w:t xml:space="preserve">, in: </w:t>
      </w:r>
      <w:proofErr w:type="spellStart"/>
      <w:r w:rsidRPr="00D822C6">
        <w:rPr>
          <w:rFonts w:eastAsiaTheme="minorHAnsi"/>
          <w:lang w:val="en-US" w:eastAsia="en-US"/>
        </w:rPr>
        <w:t>Holtug</w:t>
      </w:r>
      <w:proofErr w:type="spellEnd"/>
      <w:r w:rsidRPr="00D822C6">
        <w:rPr>
          <w:rFonts w:eastAsiaTheme="minorHAnsi"/>
          <w:lang w:val="en-US" w:eastAsia="en-US"/>
        </w:rPr>
        <w:t xml:space="preserve">, N; </w:t>
      </w:r>
      <w:proofErr w:type="spellStart"/>
      <w:r w:rsidRPr="00D822C6">
        <w:rPr>
          <w:rFonts w:eastAsiaTheme="minorHAnsi"/>
          <w:lang w:val="en-US" w:eastAsia="en-US"/>
        </w:rPr>
        <w:t>Uslaner</w:t>
      </w:r>
      <w:proofErr w:type="spellEnd"/>
      <w:r w:rsidRPr="00D822C6">
        <w:rPr>
          <w:rFonts w:eastAsiaTheme="minorHAnsi"/>
          <w:lang w:val="en-US" w:eastAsia="en-US"/>
        </w:rPr>
        <w:t>, E.M.,(eds.),</w:t>
      </w:r>
      <w:r w:rsidRPr="00D822C6">
        <w:rPr>
          <w:rFonts w:eastAsiaTheme="minorHAnsi"/>
          <w:i/>
          <w:iCs/>
          <w:lang w:val="en-US" w:eastAsia="en-US"/>
        </w:rPr>
        <w:t>National Identity and Social Cohesion</w:t>
      </w:r>
      <w:r w:rsidRPr="00D822C6">
        <w:rPr>
          <w:rFonts w:eastAsiaTheme="minorHAnsi"/>
          <w:lang w:val="en-US" w:eastAsia="en-US"/>
        </w:rPr>
        <w:t xml:space="preserve">, </w:t>
      </w:r>
      <w:r w:rsidRPr="00D822C6">
        <w:rPr>
          <w:spacing w:val="5"/>
          <w:shd w:val="clear" w:color="auto" w:fill="FFFFFF"/>
        </w:rPr>
        <w:t>Rowman &amp; Littlefield Publishers, </w:t>
      </w:r>
      <w:r w:rsidRPr="00D822C6">
        <w:rPr>
          <w:rFonts w:eastAsiaTheme="minorHAnsi"/>
          <w:lang w:val="en-US" w:eastAsia="en-US"/>
        </w:rPr>
        <w:t xml:space="preserve">London,2021,pp.221-239. </w:t>
      </w:r>
    </w:p>
    <w:p w14:paraId="24A5EC29" w14:textId="77777777" w:rsidR="00930143" w:rsidRPr="00D822C6" w:rsidRDefault="00930143" w:rsidP="00930143">
      <w:pPr>
        <w:autoSpaceDE w:val="0"/>
        <w:autoSpaceDN w:val="0"/>
        <w:adjustRightInd w:val="0"/>
        <w:jc w:val="both"/>
        <w:rPr>
          <w:lang w:val="en-US"/>
        </w:rPr>
      </w:pPr>
    </w:p>
    <w:p w14:paraId="0C61B5DE" w14:textId="77777777" w:rsidR="00930143" w:rsidRPr="00D822C6" w:rsidRDefault="00930143" w:rsidP="00930143">
      <w:pPr>
        <w:keepLines/>
        <w:jc w:val="both"/>
        <w:rPr>
          <w:rFonts w:eastAsiaTheme="minorHAnsi"/>
          <w:lang w:val="en-US" w:eastAsia="en-US"/>
        </w:rPr>
      </w:pPr>
      <w:proofErr w:type="spellStart"/>
      <w:r w:rsidRPr="00D822C6">
        <w:rPr>
          <w:rFonts w:eastAsiaTheme="minorHAnsi"/>
          <w:lang w:val="en-US" w:eastAsia="en-US"/>
        </w:rPr>
        <w:t>Mudde</w:t>
      </w:r>
      <w:proofErr w:type="spellEnd"/>
      <w:r w:rsidRPr="00D822C6">
        <w:rPr>
          <w:rFonts w:eastAsiaTheme="minorHAnsi"/>
          <w:lang w:val="en-US" w:eastAsia="en-US"/>
        </w:rPr>
        <w:t xml:space="preserve">, C., </w:t>
      </w:r>
      <w:r w:rsidRPr="00D822C6">
        <w:rPr>
          <w:rFonts w:eastAsiaTheme="minorHAnsi"/>
          <w:i/>
          <w:iCs/>
          <w:lang w:val="en-US" w:eastAsia="en-US"/>
        </w:rPr>
        <w:t>Populism: An Ideational Approach</w:t>
      </w:r>
      <w:r w:rsidRPr="00D822C6">
        <w:rPr>
          <w:rFonts w:eastAsiaTheme="minorHAnsi"/>
          <w:lang w:val="en-US" w:eastAsia="en-US"/>
        </w:rPr>
        <w:t xml:space="preserve">, in: </w:t>
      </w:r>
      <w:proofErr w:type="spellStart"/>
      <w:r w:rsidRPr="00D822C6">
        <w:rPr>
          <w:rFonts w:eastAsiaTheme="minorHAnsi"/>
          <w:lang w:val="en-US" w:eastAsia="en-US"/>
        </w:rPr>
        <w:t>Kaltwasser</w:t>
      </w:r>
      <w:proofErr w:type="spellEnd"/>
      <w:r w:rsidRPr="00D822C6">
        <w:rPr>
          <w:rFonts w:eastAsiaTheme="minorHAnsi"/>
          <w:lang w:val="en-US" w:eastAsia="en-US"/>
        </w:rPr>
        <w:t xml:space="preserve">, C.R., </w:t>
      </w:r>
      <w:r w:rsidRPr="00D822C6">
        <w:rPr>
          <w:rFonts w:eastAsiaTheme="minorHAnsi"/>
          <w:i/>
          <w:iCs/>
          <w:lang w:val="en-US" w:eastAsia="en-US"/>
        </w:rPr>
        <w:t>et al</w:t>
      </w:r>
      <w:r w:rsidRPr="00D822C6">
        <w:rPr>
          <w:rFonts w:eastAsiaTheme="minorHAnsi"/>
          <w:lang w:val="en-US" w:eastAsia="en-US"/>
        </w:rPr>
        <w:t>. (eds.),</w:t>
      </w:r>
      <w:r w:rsidRPr="00D822C6">
        <w:rPr>
          <w:rFonts w:eastAsiaTheme="minorHAnsi"/>
          <w:i/>
          <w:iCs/>
          <w:lang w:val="en-US" w:eastAsia="en-US"/>
        </w:rPr>
        <w:t>The Oxford Handbook of Populism</w:t>
      </w:r>
      <w:r w:rsidRPr="00D822C6">
        <w:rPr>
          <w:rFonts w:eastAsiaTheme="minorHAnsi"/>
          <w:lang w:val="en-US" w:eastAsia="en-US"/>
        </w:rPr>
        <w:t xml:space="preserve">, Oxford University Press, Oxford, 2017,pp.1-26. </w:t>
      </w:r>
    </w:p>
    <w:p w14:paraId="1B8AB861" w14:textId="77777777" w:rsidR="00930143" w:rsidRPr="00D822C6" w:rsidRDefault="00930143" w:rsidP="00930143">
      <w:pPr>
        <w:autoSpaceDE w:val="0"/>
        <w:autoSpaceDN w:val="0"/>
        <w:adjustRightInd w:val="0"/>
        <w:jc w:val="both"/>
        <w:rPr>
          <w:color w:val="000000"/>
          <w:lang w:val="en-US"/>
        </w:rPr>
      </w:pPr>
    </w:p>
    <w:p w14:paraId="33D01397" w14:textId="77777777" w:rsidR="00930143" w:rsidRPr="00D822C6" w:rsidRDefault="00930143" w:rsidP="00930143">
      <w:pPr>
        <w:pStyle w:val="FootnoteText"/>
        <w:jc w:val="both"/>
        <w:rPr>
          <w:sz w:val="24"/>
          <w:szCs w:val="24"/>
        </w:rPr>
      </w:pPr>
      <w:r w:rsidRPr="00D822C6">
        <w:rPr>
          <w:color w:val="000000"/>
          <w:sz w:val="24"/>
          <w:szCs w:val="24"/>
        </w:rPr>
        <w:t xml:space="preserve">Müller, J.W., </w:t>
      </w:r>
      <w:r w:rsidRPr="00D822C6">
        <w:rPr>
          <w:i/>
          <w:iCs/>
          <w:color w:val="000000"/>
          <w:sz w:val="24"/>
          <w:szCs w:val="24"/>
        </w:rPr>
        <w:t>Individual Militant Democracy</w:t>
      </w:r>
      <w:r w:rsidRPr="00D822C6">
        <w:rPr>
          <w:color w:val="000000"/>
          <w:sz w:val="24"/>
          <w:szCs w:val="24"/>
        </w:rPr>
        <w:t xml:space="preserve">, in: </w:t>
      </w:r>
      <w:proofErr w:type="spellStart"/>
      <w:r w:rsidRPr="00D822C6">
        <w:rPr>
          <w:sz w:val="24"/>
          <w:szCs w:val="24"/>
        </w:rPr>
        <w:t>Malkopoulou</w:t>
      </w:r>
      <w:proofErr w:type="spellEnd"/>
      <w:r w:rsidRPr="00D822C6">
        <w:rPr>
          <w:sz w:val="24"/>
          <w:szCs w:val="24"/>
        </w:rPr>
        <w:t>, A.; Kirshner, A., (eds.),</w:t>
      </w:r>
      <w:r w:rsidRPr="00D822C6">
        <w:rPr>
          <w:i/>
          <w:iCs/>
          <w:sz w:val="24"/>
          <w:szCs w:val="24"/>
        </w:rPr>
        <w:t xml:space="preserve"> Militant Democracy and Its Critics: Populism, Parties, Extremism</w:t>
      </w:r>
      <w:r w:rsidRPr="00D822C6">
        <w:rPr>
          <w:sz w:val="24"/>
          <w:szCs w:val="24"/>
        </w:rPr>
        <w:t xml:space="preserve">, Edinburgh University Press,Edinburgh,2019, pp.13-37.  </w:t>
      </w:r>
    </w:p>
    <w:p w14:paraId="508C6417" w14:textId="77777777" w:rsidR="00930143" w:rsidRPr="00D822C6" w:rsidRDefault="00930143" w:rsidP="00930143">
      <w:pPr>
        <w:autoSpaceDE w:val="0"/>
        <w:autoSpaceDN w:val="0"/>
        <w:adjustRightInd w:val="0"/>
        <w:jc w:val="both"/>
        <w:rPr>
          <w:color w:val="000000"/>
          <w:lang w:val="en-US"/>
        </w:rPr>
      </w:pPr>
    </w:p>
    <w:p w14:paraId="34E8B733" w14:textId="77777777" w:rsidR="00930143" w:rsidRPr="00D822C6" w:rsidRDefault="00930143" w:rsidP="00930143">
      <w:pPr>
        <w:autoSpaceDE w:val="0"/>
        <w:autoSpaceDN w:val="0"/>
        <w:adjustRightInd w:val="0"/>
        <w:jc w:val="both"/>
        <w:rPr>
          <w:color w:val="000000"/>
          <w:lang w:val="en-US"/>
        </w:rPr>
      </w:pPr>
      <w:proofErr w:type="spellStart"/>
      <w:r w:rsidRPr="00D822C6">
        <w:rPr>
          <w:color w:val="000000"/>
          <w:lang w:val="en-US"/>
        </w:rPr>
        <w:t>Müller,J.W.,</w:t>
      </w:r>
      <w:r w:rsidRPr="00D822C6">
        <w:rPr>
          <w:i/>
          <w:iCs/>
          <w:color w:val="000000"/>
          <w:lang w:val="en-US"/>
        </w:rPr>
        <w:t>Militant</w:t>
      </w:r>
      <w:proofErr w:type="spellEnd"/>
      <w:r w:rsidRPr="00D822C6">
        <w:rPr>
          <w:i/>
          <w:iCs/>
          <w:color w:val="000000"/>
          <w:lang w:val="en-US"/>
        </w:rPr>
        <w:t xml:space="preserve"> Democracy</w:t>
      </w:r>
      <w:r w:rsidRPr="00D822C6">
        <w:rPr>
          <w:color w:val="000000"/>
          <w:lang w:val="en-US"/>
        </w:rPr>
        <w:t>, in: Rosenfeld, M.;</w:t>
      </w:r>
      <w:proofErr w:type="spellStart"/>
      <w:r w:rsidRPr="00D822C6">
        <w:rPr>
          <w:color w:val="000000"/>
          <w:lang w:val="en-US"/>
        </w:rPr>
        <w:t>Sajó</w:t>
      </w:r>
      <w:proofErr w:type="spellEnd"/>
      <w:r w:rsidRPr="00D822C6">
        <w:rPr>
          <w:color w:val="000000"/>
          <w:lang w:val="en-US"/>
        </w:rPr>
        <w:t xml:space="preserve">, A., (eds.), </w:t>
      </w:r>
      <w:r w:rsidRPr="00D822C6">
        <w:rPr>
          <w:i/>
          <w:iCs/>
          <w:color w:val="000000"/>
          <w:lang w:val="en-US"/>
        </w:rPr>
        <w:t>The Oxford Handbook of Comparative Constitutional Law</w:t>
      </w:r>
      <w:r w:rsidRPr="00D822C6">
        <w:rPr>
          <w:color w:val="000000"/>
          <w:lang w:val="en-US"/>
        </w:rPr>
        <w:t>, Oxford University Press,Oxford,2012,pp.1253-1269.</w:t>
      </w:r>
    </w:p>
    <w:p w14:paraId="5EC8E822" w14:textId="77777777" w:rsidR="00930143" w:rsidRPr="00D822C6" w:rsidRDefault="00930143" w:rsidP="00930143">
      <w:pPr>
        <w:autoSpaceDE w:val="0"/>
        <w:autoSpaceDN w:val="0"/>
        <w:adjustRightInd w:val="0"/>
        <w:jc w:val="both"/>
        <w:rPr>
          <w:color w:val="000000"/>
          <w:lang w:val="en-US"/>
        </w:rPr>
      </w:pPr>
    </w:p>
    <w:p w14:paraId="5C7E3A90" w14:textId="77777777" w:rsidR="00930143" w:rsidRPr="00D822C6" w:rsidRDefault="00930143" w:rsidP="00930143">
      <w:pPr>
        <w:autoSpaceDE w:val="0"/>
        <w:autoSpaceDN w:val="0"/>
        <w:adjustRightInd w:val="0"/>
        <w:jc w:val="both"/>
        <w:rPr>
          <w:color w:val="000000"/>
          <w:lang w:val="en-US"/>
        </w:rPr>
      </w:pPr>
      <w:proofErr w:type="spellStart"/>
      <w:r w:rsidRPr="00D822C6">
        <w:rPr>
          <w:color w:val="000000"/>
          <w:lang w:val="en-US"/>
        </w:rPr>
        <w:t>Müller</w:t>
      </w:r>
      <w:proofErr w:type="spellEnd"/>
      <w:r w:rsidRPr="00D822C6">
        <w:rPr>
          <w:color w:val="000000"/>
          <w:lang w:val="en-US"/>
        </w:rPr>
        <w:t xml:space="preserve">, J.W., </w:t>
      </w:r>
      <w:r w:rsidRPr="00D822C6">
        <w:rPr>
          <w:i/>
          <w:iCs/>
          <w:color w:val="000000"/>
          <w:lang w:val="en-US"/>
        </w:rPr>
        <w:t>A Practical Dilemma Which Philosophy Alone Cannot Resolve? Rethinking Militant Democracy: An Introduction</w:t>
      </w:r>
      <w:r w:rsidRPr="00D822C6">
        <w:rPr>
          <w:color w:val="000000"/>
          <w:lang w:val="en-US"/>
        </w:rPr>
        <w:t xml:space="preserve">, Constellations, vol.19, no.4,2012,pp.536–539. </w:t>
      </w:r>
    </w:p>
    <w:p w14:paraId="71999AD3" w14:textId="77777777" w:rsidR="00930143" w:rsidRPr="00D822C6" w:rsidRDefault="00930143" w:rsidP="00930143">
      <w:pPr>
        <w:keepLines/>
        <w:jc w:val="both"/>
        <w:rPr>
          <w:rFonts w:eastAsiaTheme="minorHAnsi"/>
          <w:lang w:val="en-US" w:eastAsia="en-US"/>
        </w:rPr>
      </w:pPr>
    </w:p>
    <w:p w14:paraId="2CD57BCD" w14:textId="77777777" w:rsidR="00930143" w:rsidRPr="00D822C6" w:rsidRDefault="00930143" w:rsidP="00930143">
      <w:pPr>
        <w:keepLines/>
        <w:jc w:val="both"/>
        <w:rPr>
          <w:rFonts w:eastAsiaTheme="minorHAnsi"/>
          <w:lang w:val="en-US" w:eastAsia="en-US"/>
        </w:rPr>
      </w:pPr>
      <w:proofErr w:type="spellStart"/>
      <w:r w:rsidRPr="00D822C6">
        <w:rPr>
          <w:rFonts w:eastAsiaTheme="minorHAnsi"/>
          <w:lang w:val="en-US" w:eastAsia="en-US"/>
        </w:rPr>
        <w:t>Müller</w:t>
      </w:r>
      <w:proofErr w:type="spellEnd"/>
      <w:r w:rsidRPr="00D822C6">
        <w:rPr>
          <w:rFonts w:eastAsiaTheme="minorHAnsi"/>
          <w:lang w:val="en-US" w:eastAsia="en-US"/>
        </w:rPr>
        <w:t xml:space="preserve">, J.W., </w:t>
      </w:r>
      <w:r w:rsidRPr="00D822C6">
        <w:rPr>
          <w:rFonts w:eastAsiaTheme="minorHAnsi"/>
          <w:i/>
          <w:iCs/>
          <w:lang w:val="en-US" w:eastAsia="en-US"/>
        </w:rPr>
        <w:t>What is Populism?</w:t>
      </w:r>
      <w:r w:rsidRPr="00D822C6">
        <w:rPr>
          <w:rFonts w:eastAsiaTheme="minorHAnsi"/>
          <w:lang w:val="en-US" w:eastAsia="en-US"/>
        </w:rPr>
        <w:t xml:space="preserve">, University of Pennsylvania Press, Philadelphia, 2016. </w:t>
      </w:r>
    </w:p>
    <w:p w14:paraId="14FB37B9" w14:textId="77777777" w:rsidR="00930143" w:rsidRPr="00D822C6" w:rsidRDefault="00930143" w:rsidP="00930143">
      <w:pPr>
        <w:autoSpaceDE w:val="0"/>
        <w:autoSpaceDN w:val="0"/>
        <w:adjustRightInd w:val="0"/>
        <w:jc w:val="both"/>
        <w:rPr>
          <w:color w:val="000000"/>
          <w:lang w:val="en-US"/>
        </w:rPr>
      </w:pPr>
    </w:p>
    <w:p w14:paraId="04957C4B" w14:textId="77777777" w:rsidR="00930143" w:rsidRPr="00D822C6" w:rsidRDefault="00930143" w:rsidP="00930143">
      <w:pPr>
        <w:autoSpaceDE w:val="0"/>
        <w:autoSpaceDN w:val="0"/>
        <w:adjustRightInd w:val="0"/>
        <w:jc w:val="both"/>
        <w:rPr>
          <w:rFonts w:eastAsiaTheme="minorHAnsi"/>
          <w:lang w:eastAsia="en-US"/>
        </w:rPr>
      </w:pPr>
      <w:proofErr w:type="spellStart"/>
      <w:r w:rsidRPr="00D822C6">
        <w:rPr>
          <w:rFonts w:eastAsiaTheme="minorHAnsi"/>
          <w:lang w:eastAsia="en-US"/>
        </w:rPr>
        <w:t>Pfersmann</w:t>
      </w:r>
      <w:proofErr w:type="spellEnd"/>
      <w:r w:rsidRPr="00D822C6">
        <w:rPr>
          <w:rFonts w:eastAsiaTheme="minorHAnsi"/>
          <w:lang w:eastAsia="en-US"/>
        </w:rPr>
        <w:t xml:space="preserve">, O., </w:t>
      </w:r>
      <w:r w:rsidRPr="00D822C6">
        <w:rPr>
          <w:rFonts w:eastAsiaTheme="minorHAnsi"/>
          <w:i/>
          <w:iCs/>
          <w:lang w:eastAsia="en-US"/>
        </w:rPr>
        <w:t>Shaping Militant Democracy: Legal Limits to Democratic Stability</w:t>
      </w:r>
      <w:r w:rsidRPr="00D822C6">
        <w:rPr>
          <w:rFonts w:eastAsiaTheme="minorHAnsi"/>
          <w:lang w:eastAsia="en-US"/>
        </w:rPr>
        <w:t>, in:</w:t>
      </w:r>
      <w:r w:rsidRPr="00D822C6">
        <w:rPr>
          <w:color w:val="000000"/>
        </w:rPr>
        <w:t xml:space="preserve"> </w:t>
      </w:r>
      <w:proofErr w:type="spellStart"/>
      <w:r w:rsidRPr="00D822C6">
        <w:rPr>
          <w:color w:val="000000"/>
        </w:rPr>
        <w:t>Sajó</w:t>
      </w:r>
      <w:proofErr w:type="spellEnd"/>
      <w:r w:rsidRPr="00D822C6">
        <w:rPr>
          <w:color w:val="000000"/>
        </w:rPr>
        <w:t xml:space="preserve">, A. (ed.), </w:t>
      </w:r>
      <w:r w:rsidRPr="00D822C6">
        <w:rPr>
          <w:i/>
          <w:iCs/>
          <w:color w:val="000000"/>
        </w:rPr>
        <w:t>Militant Democracy</w:t>
      </w:r>
      <w:r w:rsidRPr="00D822C6">
        <w:rPr>
          <w:color w:val="000000"/>
        </w:rPr>
        <w:t xml:space="preserve">, </w:t>
      </w:r>
      <w:r w:rsidRPr="00D822C6">
        <w:rPr>
          <w:color w:val="000000"/>
          <w:lang w:val="en-US"/>
        </w:rPr>
        <w:t>Eleven International Publishing, Utrecht, 2004, pp.47-68.</w:t>
      </w:r>
    </w:p>
    <w:p w14:paraId="75CDF2AE" w14:textId="77777777" w:rsidR="00930143" w:rsidRPr="00D822C6" w:rsidRDefault="00930143" w:rsidP="00930143">
      <w:pPr>
        <w:autoSpaceDE w:val="0"/>
        <w:autoSpaceDN w:val="0"/>
        <w:adjustRightInd w:val="0"/>
        <w:jc w:val="both"/>
        <w:rPr>
          <w:color w:val="000000"/>
          <w:lang w:val="en-US"/>
        </w:rPr>
      </w:pPr>
    </w:p>
    <w:p w14:paraId="78E3E835" w14:textId="77777777" w:rsidR="00930143" w:rsidRPr="00D822C6" w:rsidRDefault="00930143" w:rsidP="00930143">
      <w:pPr>
        <w:pStyle w:val="FootnoteText"/>
        <w:jc w:val="both"/>
        <w:rPr>
          <w:sz w:val="24"/>
          <w:szCs w:val="24"/>
        </w:rPr>
      </w:pPr>
      <w:r w:rsidRPr="00D822C6">
        <w:rPr>
          <w:sz w:val="24"/>
          <w:szCs w:val="24"/>
        </w:rPr>
        <w:t xml:space="preserve">Rawls, J., </w:t>
      </w:r>
      <w:r w:rsidRPr="00D822C6">
        <w:rPr>
          <w:i/>
          <w:sz w:val="24"/>
          <w:szCs w:val="24"/>
        </w:rPr>
        <w:t>A Theory of Justice</w:t>
      </w:r>
      <w:r w:rsidRPr="00D822C6">
        <w:rPr>
          <w:sz w:val="24"/>
          <w:szCs w:val="24"/>
        </w:rPr>
        <w:t xml:space="preserve">, </w:t>
      </w:r>
      <w:r w:rsidRPr="00D822C6">
        <w:rPr>
          <w:color w:val="222222"/>
          <w:sz w:val="24"/>
          <w:szCs w:val="24"/>
          <w:shd w:val="clear" w:color="auto" w:fill="FFFFFF"/>
        </w:rPr>
        <w:t>Oxford University Press,</w:t>
      </w:r>
      <w:r w:rsidRPr="00D822C6">
        <w:rPr>
          <w:sz w:val="24"/>
          <w:szCs w:val="24"/>
        </w:rPr>
        <w:t xml:space="preserve"> Oxford,</w:t>
      </w:r>
      <w:r w:rsidRPr="00D822C6">
        <w:rPr>
          <w:color w:val="222222"/>
          <w:sz w:val="24"/>
          <w:szCs w:val="24"/>
          <w:shd w:val="clear" w:color="auto" w:fill="FFFFFF"/>
        </w:rPr>
        <w:t>1972.</w:t>
      </w:r>
    </w:p>
    <w:p w14:paraId="5A5021C7" w14:textId="77777777" w:rsidR="00930143" w:rsidRPr="00D822C6" w:rsidRDefault="00930143" w:rsidP="00930143">
      <w:pPr>
        <w:jc w:val="both"/>
        <w:rPr>
          <w:bCs/>
          <w:i/>
        </w:rPr>
      </w:pPr>
    </w:p>
    <w:p w14:paraId="4F2CB81E" w14:textId="77777777" w:rsidR="00930143" w:rsidRPr="00D822C6" w:rsidRDefault="00930143" w:rsidP="00930143">
      <w:pPr>
        <w:jc w:val="both"/>
      </w:pPr>
      <w:proofErr w:type="spellStart"/>
      <w:r w:rsidRPr="00D822C6">
        <w:rPr>
          <w:bCs/>
          <w:i/>
        </w:rPr>
        <w:t>Refah</w:t>
      </w:r>
      <w:proofErr w:type="spellEnd"/>
      <w:r w:rsidRPr="00D822C6">
        <w:rPr>
          <w:bCs/>
          <w:i/>
          <w:lang w:val="en-US"/>
        </w:rPr>
        <w:t xml:space="preserve"> </w:t>
      </w:r>
      <w:proofErr w:type="spellStart"/>
      <w:r w:rsidRPr="00D822C6">
        <w:rPr>
          <w:bCs/>
          <w:i/>
        </w:rPr>
        <w:t>Partisi</w:t>
      </w:r>
      <w:proofErr w:type="spellEnd"/>
      <w:r w:rsidRPr="00D822C6">
        <w:rPr>
          <w:bCs/>
          <w:i/>
        </w:rPr>
        <w:t xml:space="preserve"> (The Welfare Party) And Others v. Turkey, </w:t>
      </w:r>
      <w:r w:rsidRPr="00D822C6">
        <w:rPr>
          <w:bCs/>
          <w:iCs/>
        </w:rPr>
        <w:t>App.no.</w:t>
      </w:r>
      <w:r w:rsidRPr="00D822C6">
        <w:t xml:space="preserve"> 41340/98, 41342/98, 41343/98 and 41344/98</w:t>
      </w:r>
      <w:r w:rsidRPr="00D822C6">
        <w:rPr>
          <w:lang w:val="en-US"/>
        </w:rPr>
        <w:t xml:space="preserve">, </w:t>
      </w:r>
      <w:r w:rsidRPr="00D822C6">
        <w:rPr>
          <w:rFonts w:eastAsiaTheme="minorHAnsi"/>
          <w:lang w:eastAsia="en-US"/>
        </w:rPr>
        <w:t>Judgment of 13 February 2003.</w:t>
      </w:r>
    </w:p>
    <w:p w14:paraId="7A242CB3" w14:textId="7C0603C3" w:rsidR="00930143" w:rsidRPr="00930143" w:rsidRDefault="00930143" w:rsidP="00930143">
      <w:pPr>
        <w:autoSpaceDE w:val="0"/>
        <w:autoSpaceDN w:val="0"/>
        <w:adjustRightInd w:val="0"/>
        <w:jc w:val="both"/>
        <w:rPr>
          <w:rFonts w:eastAsiaTheme="minorHAnsi"/>
          <w:lang w:eastAsia="en-US"/>
        </w:rPr>
      </w:pPr>
      <w:r w:rsidRPr="00D822C6">
        <w:rPr>
          <w:rFonts w:eastAsiaTheme="minorHAnsi"/>
          <w:lang w:eastAsia="en-US"/>
        </w:rPr>
        <w:t xml:space="preserve">Roach, K., </w:t>
      </w:r>
      <w:r w:rsidRPr="00D822C6">
        <w:rPr>
          <w:rFonts w:eastAsiaTheme="minorHAnsi"/>
          <w:i/>
          <w:iCs/>
          <w:lang w:eastAsia="en-US"/>
        </w:rPr>
        <w:t>Anti-Terrorism and Militant Democracy</w:t>
      </w:r>
      <w:r w:rsidRPr="00D822C6">
        <w:rPr>
          <w:rFonts w:eastAsiaTheme="minorHAnsi"/>
          <w:lang w:eastAsia="en-US"/>
        </w:rPr>
        <w:t xml:space="preserve">, in: </w:t>
      </w:r>
      <w:proofErr w:type="spellStart"/>
      <w:r w:rsidRPr="00D822C6">
        <w:rPr>
          <w:color w:val="000000"/>
        </w:rPr>
        <w:t>Sajó</w:t>
      </w:r>
      <w:proofErr w:type="spellEnd"/>
      <w:r w:rsidRPr="00D822C6">
        <w:rPr>
          <w:color w:val="000000"/>
        </w:rPr>
        <w:t xml:space="preserve">, A. (ed.), </w:t>
      </w:r>
      <w:r w:rsidRPr="00D822C6">
        <w:rPr>
          <w:i/>
          <w:iCs/>
          <w:color w:val="000000"/>
        </w:rPr>
        <w:t>Militant Democracy</w:t>
      </w:r>
      <w:r w:rsidRPr="00D822C6">
        <w:rPr>
          <w:color w:val="000000"/>
        </w:rPr>
        <w:t xml:space="preserve">, </w:t>
      </w:r>
      <w:r w:rsidRPr="00D822C6">
        <w:rPr>
          <w:color w:val="000000"/>
          <w:lang w:val="en-US"/>
        </w:rPr>
        <w:t xml:space="preserve">Eleven International Publishing, Utrecht, 2004, </w:t>
      </w:r>
      <w:r w:rsidRPr="00D822C6">
        <w:rPr>
          <w:rFonts w:eastAsiaTheme="minorHAnsi"/>
          <w:lang w:eastAsia="en-US"/>
        </w:rPr>
        <w:t>pp.171-207.</w:t>
      </w:r>
    </w:p>
    <w:p w14:paraId="58D3C1D1" w14:textId="77777777" w:rsidR="00930143" w:rsidRPr="00D822C6" w:rsidRDefault="00930143" w:rsidP="00930143">
      <w:pPr>
        <w:autoSpaceDE w:val="0"/>
        <w:autoSpaceDN w:val="0"/>
        <w:adjustRightInd w:val="0"/>
        <w:jc w:val="both"/>
        <w:rPr>
          <w:rFonts w:eastAsiaTheme="minorHAnsi"/>
          <w:lang w:eastAsia="en-US"/>
        </w:rPr>
      </w:pPr>
      <w:r w:rsidRPr="00D822C6">
        <w:rPr>
          <w:color w:val="000000"/>
          <w:lang w:val="en-US"/>
        </w:rPr>
        <w:lastRenderedPageBreak/>
        <w:t>Rosenfeld, M.;</w:t>
      </w:r>
      <w:proofErr w:type="spellStart"/>
      <w:r w:rsidRPr="00D822C6">
        <w:rPr>
          <w:color w:val="000000"/>
          <w:lang w:val="en-US"/>
        </w:rPr>
        <w:t>Sajó</w:t>
      </w:r>
      <w:proofErr w:type="spellEnd"/>
      <w:r w:rsidRPr="00D822C6">
        <w:rPr>
          <w:color w:val="000000"/>
          <w:lang w:val="en-US"/>
        </w:rPr>
        <w:t xml:space="preserve">, A., (eds.), </w:t>
      </w:r>
      <w:r w:rsidRPr="00D822C6">
        <w:rPr>
          <w:i/>
          <w:iCs/>
          <w:color w:val="000000"/>
          <w:lang w:val="en-US"/>
        </w:rPr>
        <w:t>The Oxford Handbook of Comparative Constitutional Law</w:t>
      </w:r>
      <w:r w:rsidRPr="00D822C6">
        <w:rPr>
          <w:color w:val="000000"/>
          <w:lang w:val="en-US"/>
        </w:rPr>
        <w:t>, Oxford University Press,</w:t>
      </w:r>
      <w:r>
        <w:rPr>
          <w:color w:val="000000"/>
          <w:lang w:val="en-US"/>
        </w:rPr>
        <w:t xml:space="preserve"> </w:t>
      </w:r>
      <w:r w:rsidRPr="00D822C6">
        <w:rPr>
          <w:color w:val="000000"/>
          <w:lang w:val="en-US"/>
        </w:rPr>
        <w:t>Oxford, 2012.</w:t>
      </w:r>
    </w:p>
    <w:p w14:paraId="4EBF5ECB" w14:textId="77777777" w:rsidR="00930143" w:rsidRPr="00D822C6" w:rsidRDefault="00930143" w:rsidP="00930143">
      <w:pPr>
        <w:autoSpaceDE w:val="0"/>
        <w:autoSpaceDN w:val="0"/>
        <w:adjustRightInd w:val="0"/>
        <w:jc w:val="both"/>
        <w:rPr>
          <w:rFonts w:eastAsiaTheme="minorHAnsi"/>
          <w:lang w:eastAsia="en-US"/>
        </w:rPr>
      </w:pPr>
    </w:p>
    <w:p w14:paraId="1EA472DB" w14:textId="77777777" w:rsidR="00930143" w:rsidRPr="00D822C6" w:rsidRDefault="00930143" w:rsidP="00930143">
      <w:pPr>
        <w:pStyle w:val="FootnoteText"/>
        <w:jc w:val="both"/>
        <w:rPr>
          <w:sz w:val="24"/>
          <w:szCs w:val="24"/>
        </w:rPr>
      </w:pPr>
      <w:proofErr w:type="spellStart"/>
      <w:r w:rsidRPr="00D822C6">
        <w:rPr>
          <w:rFonts w:eastAsiaTheme="minorHAnsi"/>
          <w:sz w:val="24"/>
          <w:szCs w:val="24"/>
          <w:lang w:eastAsia="en-US"/>
        </w:rPr>
        <w:t>Sadurski</w:t>
      </w:r>
      <w:proofErr w:type="spellEnd"/>
      <w:r w:rsidRPr="00D822C6">
        <w:rPr>
          <w:rFonts w:eastAsiaTheme="minorHAnsi"/>
          <w:sz w:val="24"/>
          <w:szCs w:val="24"/>
          <w:lang w:eastAsia="en-US"/>
        </w:rPr>
        <w:t xml:space="preserve">, W., </w:t>
      </w:r>
      <w:r w:rsidRPr="00D822C6">
        <w:rPr>
          <w:rFonts w:eastAsiaTheme="minorHAnsi"/>
          <w:i/>
          <w:iCs/>
          <w:sz w:val="24"/>
          <w:szCs w:val="24"/>
          <w:lang w:eastAsia="en-US"/>
        </w:rPr>
        <w:t xml:space="preserve">Adding Bite to a Bark: The Story of Article 7, EU Enlargement, and </w:t>
      </w:r>
      <w:proofErr w:type="spellStart"/>
      <w:r w:rsidRPr="00D822C6">
        <w:rPr>
          <w:rFonts w:eastAsiaTheme="minorHAnsi"/>
          <w:i/>
          <w:iCs/>
          <w:sz w:val="24"/>
          <w:szCs w:val="24"/>
          <w:lang w:eastAsia="en-US"/>
        </w:rPr>
        <w:t>Jörg</w:t>
      </w:r>
      <w:proofErr w:type="spellEnd"/>
      <w:r w:rsidRPr="00D822C6">
        <w:rPr>
          <w:rFonts w:eastAsiaTheme="minorHAnsi"/>
          <w:i/>
          <w:iCs/>
          <w:sz w:val="24"/>
          <w:szCs w:val="24"/>
          <w:lang w:eastAsia="en-US"/>
        </w:rPr>
        <w:t xml:space="preserve"> Haider</w:t>
      </w:r>
      <w:r w:rsidRPr="00D822C6">
        <w:rPr>
          <w:rFonts w:eastAsiaTheme="minorHAnsi"/>
          <w:sz w:val="24"/>
          <w:szCs w:val="24"/>
          <w:lang w:eastAsia="en-US"/>
        </w:rPr>
        <w:t>, Columbia Journal of European Law,vol.16, no.3,2010,</w:t>
      </w:r>
      <w:r w:rsidRPr="00D822C6">
        <w:rPr>
          <w:sz w:val="24"/>
          <w:szCs w:val="24"/>
        </w:rPr>
        <w:t xml:space="preserve"> pp.396-409.</w:t>
      </w:r>
    </w:p>
    <w:p w14:paraId="25D6FE9F" w14:textId="77777777" w:rsidR="00930143" w:rsidRPr="00D822C6" w:rsidRDefault="00930143" w:rsidP="00930143">
      <w:pPr>
        <w:pStyle w:val="FootnoteText"/>
        <w:jc w:val="both"/>
        <w:rPr>
          <w:sz w:val="24"/>
          <w:szCs w:val="24"/>
        </w:rPr>
      </w:pPr>
    </w:p>
    <w:p w14:paraId="43F2E30B" w14:textId="77777777" w:rsidR="00930143" w:rsidRPr="00D822C6" w:rsidRDefault="00930143" w:rsidP="00930143">
      <w:pPr>
        <w:pStyle w:val="FootnoteText"/>
        <w:jc w:val="both"/>
        <w:rPr>
          <w:sz w:val="24"/>
          <w:szCs w:val="24"/>
        </w:rPr>
      </w:pPr>
      <w:r w:rsidRPr="00D822C6">
        <w:rPr>
          <w:sz w:val="24"/>
          <w:szCs w:val="24"/>
        </w:rPr>
        <w:t xml:space="preserve">Said, E., </w:t>
      </w:r>
      <w:r w:rsidRPr="00D822C6">
        <w:rPr>
          <w:i/>
          <w:iCs/>
          <w:sz w:val="24"/>
          <w:szCs w:val="24"/>
        </w:rPr>
        <w:t>Orientalism</w:t>
      </w:r>
      <w:r w:rsidRPr="00D822C6">
        <w:rPr>
          <w:sz w:val="24"/>
          <w:szCs w:val="24"/>
        </w:rPr>
        <w:t>, Penguin Random House, New York, 1979.</w:t>
      </w:r>
    </w:p>
    <w:p w14:paraId="57FCE932" w14:textId="77777777" w:rsidR="00930143" w:rsidRPr="00D822C6" w:rsidRDefault="00930143" w:rsidP="00930143">
      <w:pPr>
        <w:autoSpaceDE w:val="0"/>
        <w:autoSpaceDN w:val="0"/>
        <w:adjustRightInd w:val="0"/>
        <w:jc w:val="both"/>
      </w:pPr>
    </w:p>
    <w:p w14:paraId="1C8B18F4" w14:textId="77777777" w:rsidR="00930143" w:rsidRPr="00D822C6" w:rsidRDefault="00930143" w:rsidP="00930143">
      <w:pPr>
        <w:keepLines/>
        <w:autoSpaceDE w:val="0"/>
        <w:autoSpaceDN w:val="0"/>
        <w:adjustRightInd w:val="0"/>
        <w:jc w:val="both"/>
        <w:rPr>
          <w:lang w:val="en-US"/>
        </w:rPr>
      </w:pPr>
      <w:proofErr w:type="spellStart"/>
      <w:r w:rsidRPr="00D822C6">
        <w:rPr>
          <w:color w:val="000000"/>
          <w:spacing w:val="-5"/>
          <w:shd w:val="clear" w:color="auto" w:fill="FFFFFF"/>
          <w:lang w:val="en-US"/>
        </w:rPr>
        <w:t>Sajó</w:t>
      </w:r>
      <w:proofErr w:type="spellEnd"/>
      <w:r w:rsidRPr="00D822C6">
        <w:rPr>
          <w:color w:val="000000"/>
          <w:spacing w:val="-5"/>
          <w:shd w:val="clear" w:color="auto" w:fill="FFFFFF"/>
          <w:lang w:val="en-US"/>
        </w:rPr>
        <w:t xml:space="preserve">, A., </w:t>
      </w:r>
      <w:r w:rsidRPr="00D822C6">
        <w:rPr>
          <w:i/>
          <w:iCs/>
          <w:color w:val="0E101A"/>
          <w:lang w:val="en-US"/>
        </w:rPr>
        <w:t>Militant Constitutionalism</w:t>
      </w:r>
      <w:r w:rsidRPr="00D822C6">
        <w:rPr>
          <w:color w:val="0E101A"/>
          <w:lang w:val="en-US"/>
        </w:rPr>
        <w:t>, in:</w:t>
      </w:r>
      <w:r w:rsidRPr="00D822C6">
        <w:t xml:space="preserve"> </w:t>
      </w:r>
      <w:proofErr w:type="spellStart"/>
      <w:r w:rsidRPr="00D822C6">
        <w:t>Malkopoulou</w:t>
      </w:r>
      <w:proofErr w:type="spellEnd"/>
      <w:r w:rsidRPr="00D822C6">
        <w:t xml:space="preserve">, A.; Kirshner, A., (eds.), </w:t>
      </w:r>
      <w:r w:rsidRPr="00D822C6">
        <w:rPr>
          <w:i/>
          <w:iCs/>
          <w:lang w:val="en-US"/>
        </w:rPr>
        <w:t>Militant Democracy and Its Critics: Populism, Parties, Extremism</w:t>
      </w:r>
      <w:r w:rsidRPr="00D822C6">
        <w:rPr>
          <w:lang w:val="en-US"/>
        </w:rPr>
        <w:t xml:space="preserve">, Edinburgh University Press,Edinburgh,2019, pp.187-206; </w:t>
      </w:r>
    </w:p>
    <w:p w14:paraId="1F4910CD" w14:textId="77777777" w:rsidR="00930143" w:rsidRPr="00D822C6" w:rsidRDefault="00930143" w:rsidP="00930143">
      <w:pPr>
        <w:autoSpaceDE w:val="0"/>
        <w:autoSpaceDN w:val="0"/>
        <w:adjustRightInd w:val="0"/>
        <w:jc w:val="both"/>
      </w:pPr>
    </w:p>
    <w:p w14:paraId="511638E0" w14:textId="77777777" w:rsidR="00930143" w:rsidRPr="00D822C6" w:rsidRDefault="00930143" w:rsidP="00930143">
      <w:pPr>
        <w:autoSpaceDE w:val="0"/>
        <w:autoSpaceDN w:val="0"/>
        <w:adjustRightInd w:val="0"/>
        <w:jc w:val="both"/>
        <w:rPr>
          <w:rFonts w:eastAsiaTheme="minorHAnsi"/>
          <w:lang w:eastAsia="en-US"/>
        </w:rPr>
      </w:pPr>
      <w:proofErr w:type="spellStart"/>
      <w:r w:rsidRPr="00D822C6">
        <w:t>Sajó</w:t>
      </w:r>
      <w:proofErr w:type="spellEnd"/>
      <w:r w:rsidRPr="00D822C6">
        <w:rPr>
          <w:rFonts w:eastAsiaTheme="minorHAnsi"/>
          <w:lang w:eastAsia="en-US"/>
        </w:rPr>
        <w:t xml:space="preserve">, A., </w:t>
      </w:r>
      <w:r w:rsidRPr="00D822C6">
        <w:rPr>
          <w:rFonts w:eastAsiaTheme="minorHAnsi"/>
          <w:i/>
          <w:iCs/>
          <w:lang w:eastAsia="en-US"/>
        </w:rPr>
        <w:t>From Militant Democracy to the Preventive State?</w:t>
      </w:r>
      <w:r w:rsidRPr="00D822C6">
        <w:rPr>
          <w:rFonts w:eastAsiaTheme="minorHAnsi"/>
          <w:lang w:eastAsia="en-US"/>
        </w:rPr>
        <w:t xml:space="preserve"> Cardozo Law Review, vol.27, 2006, pp.2255-2294.</w:t>
      </w:r>
    </w:p>
    <w:p w14:paraId="5C90D040" w14:textId="77777777" w:rsidR="00930143" w:rsidRPr="00D822C6" w:rsidRDefault="00930143" w:rsidP="00930143">
      <w:pPr>
        <w:autoSpaceDE w:val="0"/>
        <w:autoSpaceDN w:val="0"/>
        <w:adjustRightInd w:val="0"/>
        <w:jc w:val="both"/>
        <w:rPr>
          <w:color w:val="000000"/>
          <w:lang w:val="en-US"/>
        </w:rPr>
      </w:pPr>
    </w:p>
    <w:p w14:paraId="3A921026" w14:textId="77777777" w:rsidR="00930143" w:rsidRPr="00D822C6" w:rsidRDefault="00930143" w:rsidP="00930143">
      <w:pPr>
        <w:autoSpaceDE w:val="0"/>
        <w:autoSpaceDN w:val="0"/>
        <w:adjustRightInd w:val="0"/>
        <w:jc w:val="both"/>
        <w:rPr>
          <w:lang w:val="en-US"/>
        </w:rPr>
      </w:pPr>
      <w:proofErr w:type="spellStart"/>
      <w:r w:rsidRPr="00D822C6">
        <w:rPr>
          <w:color w:val="000000"/>
          <w:lang w:val="en-US"/>
        </w:rPr>
        <w:t>Sajó,A</w:t>
      </w:r>
      <w:proofErr w:type="spellEnd"/>
      <w:r w:rsidRPr="00D822C6">
        <w:rPr>
          <w:color w:val="000000"/>
          <w:lang w:val="en-US"/>
        </w:rPr>
        <w:t>.(ed.),</w:t>
      </w:r>
      <w:r w:rsidRPr="00D822C6">
        <w:rPr>
          <w:i/>
          <w:iCs/>
          <w:color w:val="000000"/>
          <w:lang w:val="en-US"/>
        </w:rPr>
        <w:t>Militant Democracy</w:t>
      </w:r>
      <w:r w:rsidRPr="00D822C6">
        <w:rPr>
          <w:color w:val="000000"/>
          <w:lang w:val="en-US"/>
        </w:rPr>
        <w:t>, Eleven International Publishing, Utrecht, 2004.</w:t>
      </w:r>
      <w:r w:rsidRPr="00D822C6">
        <w:rPr>
          <w:lang w:val="en-US"/>
        </w:rPr>
        <w:t xml:space="preserve"> </w:t>
      </w:r>
    </w:p>
    <w:p w14:paraId="10826709" w14:textId="77777777" w:rsidR="00930143" w:rsidRPr="00D822C6" w:rsidRDefault="00930143" w:rsidP="00930143">
      <w:pPr>
        <w:pStyle w:val="FootnoteText"/>
        <w:jc w:val="both"/>
        <w:rPr>
          <w:color w:val="000000"/>
          <w:sz w:val="24"/>
          <w:szCs w:val="24"/>
        </w:rPr>
      </w:pPr>
    </w:p>
    <w:p w14:paraId="75B786F4" w14:textId="77777777" w:rsidR="00930143" w:rsidRPr="00D822C6" w:rsidRDefault="00930143" w:rsidP="00930143">
      <w:pPr>
        <w:autoSpaceDE w:val="0"/>
        <w:autoSpaceDN w:val="0"/>
        <w:adjustRightInd w:val="0"/>
        <w:jc w:val="both"/>
        <w:rPr>
          <w:lang w:val="en-US"/>
        </w:rPr>
      </w:pPr>
      <w:proofErr w:type="spellStart"/>
      <w:r w:rsidRPr="00D822C6">
        <w:rPr>
          <w:color w:val="000000"/>
        </w:rPr>
        <w:t>Sajó</w:t>
      </w:r>
      <w:proofErr w:type="spellEnd"/>
      <w:r w:rsidRPr="00D822C6">
        <w:rPr>
          <w:color w:val="000000"/>
        </w:rPr>
        <w:t xml:space="preserve">, A., </w:t>
      </w:r>
      <w:r w:rsidRPr="00D822C6">
        <w:rPr>
          <w:i/>
          <w:iCs/>
          <w:color w:val="000000"/>
        </w:rPr>
        <w:t>Militant Democracy and Transition towards Democracy</w:t>
      </w:r>
      <w:r w:rsidRPr="00D822C6">
        <w:rPr>
          <w:color w:val="000000"/>
        </w:rPr>
        <w:t xml:space="preserve">, in: </w:t>
      </w:r>
      <w:proofErr w:type="spellStart"/>
      <w:r w:rsidRPr="00D822C6">
        <w:rPr>
          <w:color w:val="000000"/>
        </w:rPr>
        <w:t>Sajó</w:t>
      </w:r>
      <w:proofErr w:type="spellEnd"/>
      <w:r w:rsidRPr="00D822C6">
        <w:rPr>
          <w:color w:val="000000"/>
        </w:rPr>
        <w:t xml:space="preserve">, A. (ed.), </w:t>
      </w:r>
      <w:r w:rsidRPr="00D822C6">
        <w:rPr>
          <w:i/>
          <w:iCs/>
          <w:color w:val="000000"/>
        </w:rPr>
        <w:t>Militant Democracy</w:t>
      </w:r>
      <w:r w:rsidRPr="00D822C6">
        <w:rPr>
          <w:color w:val="000000"/>
        </w:rPr>
        <w:t xml:space="preserve">, </w:t>
      </w:r>
      <w:r w:rsidRPr="00D822C6">
        <w:t xml:space="preserve"> </w:t>
      </w:r>
      <w:r w:rsidRPr="00D822C6">
        <w:rPr>
          <w:color w:val="000000"/>
          <w:lang w:val="en-US"/>
        </w:rPr>
        <w:t>Eleven International Publishing, Utrecht, 2004,pp.209-230.</w:t>
      </w:r>
      <w:r w:rsidRPr="00D822C6">
        <w:rPr>
          <w:lang w:val="en-US"/>
        </w:rPr>
        <w:t xml:space="preserve"> </w:t>
      </w:r>
    </w:p>
    <w:p w14:paraId="1CC131CF" w14:textId="77777777" w:rsidR="00930143" w:rsidRPr="00D822C6" w:rsidRDefault="00930143" w:rsidP="00930143">
      <w:pPr>
        <w:pStyle w:val="FootnoteText"/>
        <w:jc w:val="both"/>
        <w:rPr>
          <w:sz w:val="24"/>
          <w:szCs w:val="24"/>
        </w:rPr>
      </w:pPr>
    </w:p>
    <w:p w14:paraId="3AA08CB8" w14:textId="77777777" w:rsidR="00930143" w:rsidRPr="00D822C6" w:rsidRDefault="00930143" w:rsidP="00930143">
      <w:pPr>
        <w:jc w:val="both"/>
        <w:rPr>
          <w:lang w:val="en-US"/>
        </w:rPr>
      </w:pPr>
      <w:r w:rsidRPr="002869A3">
        <w:rPr>
          <w:shd w:val="clear" w:color="auto" w:fill="FFFFFF"/>
        </w:rPr>
        <w:t xml:space="preserve">Samira </w:t>
      </w:r>
      <w:proofErr w:type="spellStart"/>
      <w:r w:rsidRPr="002869A3">
        <w:rPr>
          <w:shd w:val="clear" w:color="auto" w:fill="FFFFFF"/>
        </w:rPr>
        <w:t>Achbita</w:t>
      </w:r>
      <w:proofErr w:type="spellEnd"/>
      <w:r w:rsidRPr="002869A3">
        <w:rPr>
          <w:shd w:val="clear" w:color="auto" w:fill="FFFFFF"/>
        </w:rPr>
        <w:t xml:space="preserve"> and Centrum </w:t>
      </w:r>
      <w:proofErr w:type="spellStart"/>
      <w:r w:rsidRPr="002869A3">
        <w:rPr>
          <w:shd w:val="clear" w:color="auto" w:fill="FFFFFF"/>
        </w:rPr>
        <w:t>voor</w:t>
      </w:r>
      <w:proofErr w:type="spellEnd"/>
      <w:r w:rsidRPr="002869A3">
        <w:rPr>
          <w:shd w:val="clear" w:color="auto" w:fill="FFFFFF"/>
        </w:rPr>
        <w:t xml:space="preserve"> </w:t>
      </w:r>
      <w:proofErr w:type="spellStart"/>
      <w:r w:rsidRPr="002869A3">
        <w:rPr>
          <w:shd w:val="clear" w:color="auto" w:fill="FFFFFF"/>
        </w:rPr>
        <w:t>gelijkheid</w:t>
      </w:r>
      <w:proofErr w:type="spellEnd"/>
      <w:r w:rsidRPr="002869A3">
        <w:rPr>
          <w:shd w:val="clear" w:color="auto" w:fill="FFFFFF"/>
        </w:rPr>
        <w:t xml:space="preserve"> van </w:t>
      </w:r>
      <w:proofErr w:type="spellStart"/>
      <w:r w:rsidRPr="002869A3">
        <w:rPr>
          <w:shd w:val="clear" w:color="auto" w:fill="FFFFFF"/>
        </w:rPr>
        <w:t>kansen</w:t>
      </w:r>
      <w:proofErr w:type="spellEnd"/>
      <w:r w:rsidRPr="002869A3">
        <w:rPr>
          <w:shd w:val="clear" w:color="auto" w:fill="FFFFFF"/>
        </w:rPr>
        <w:t xml:space="preserve"> </w:t>
      </w:r>
      <w:proofErr w:type="spellStart"/>
      <w:r w:rsidRPr="002869A3">
        <w:rPr>
          <w:shd w:val="clear" w:color="auto" w:fill="FFFFFF"/>
        </w:rPr>
        <w:t>en</w:t>
      </w:r>
      <w:proofErr w:type="spellEnd"/>
      <w:r w:rsidRPr="002869A3">
        <w:rPr>
          <w:shd w:val="clear" w:color="auto" w:fill="FFFFFF"/>
        </w:rPr>
        <w:t xml:space="preserve"> </w:t>
      </w:r>
      <w:proofErr w:type="spellStart"/>
      <w:r w:rsidRPr="002869A3">
        <w:rPr>
          <w:shd w:val="clear" w:color="auto" w:fill="FFFFFF"/>
        </w:rPr>
        <w:t>voor</w:t>
      </w:r>
      <w:proofErr w:type="spellEnd"/>
      <w:r w:rsidRPr="002869A3">
        <w:rPr>
          <w:shd w:val="clear" w:color="auto" w:fill="FFFFFF"/>
        </w:rPr>
        <w:t xml:space="preserve"> </w:t>
      </w:r>
      <w:proofErr w:type="spellStart"/>
      <w:r w:rsidRPr="002869A3">
        <w:rPr>
          <w:shd w:val="clear" w:color="auto" w:fill="FFFFFF"/>
        </w:rPr>
        <w:t>racismebestrijding</w:t>
      </w:r>
      <w:proofErr w:type="spellEnd"/>
      <w:r w:rsidRPr="002869A3">
        <w:rPr>
          <w:shd w:val="clear" w:color="auto" w:fill="FFFFFF"/>
        </w:rPr>
        <w:t xml:space="preserve"> v</w:t>
      </w:r>
      <w:r w:rsidRPr="002869A3">
        <w:rPr>
          <w:shd w:val="clear" w:color="auto" w:fill="FFFFFF"/>
          <w:lang w:val="en-US"/>
        </w:rPr>
        <w:t>.</w:t>
      </w:r>
      <w:r w:rsidRPr="002869A3">
        <w:rPr>
          <w:shd w:val="clear" w:color="auto" w:fill="FFFFFF"/>
        </w:rPr>
        <w:t xml:space="preserve"> G4S Secure Solutions NV</w:t>
      </w:r>
      <w:r w:rsidRPr="00D822C6">
        <w:rPr>
          <w:shd w:val="clear" w:color="auto" w:fill="FFFFFF"/>
          <w:lang w:val="en-US"/>
        </w:rPr>
        <w:t>,</w:t>
      </w:r>
      <w:r w:rsidRPr="00D822C6">
        <w:rPr>
          <w:shd w:val="clear" w:color="auto" w:fill="FFFFFF"/>
        </w:rPr>
        <w:t xml:space="preserve"> </w:t>
      </w:r>
      <w:r w:rsidRPr="00D822C6">
        <w:t>Case C-157/15</w:t>
      </w:r>
      <w:r w:rsidRPr="00D822C6">
        <w:rPr>
          <w:lang w:val="en-US"/>
        </w:rPr>
        <w:t xml:space="preserve">, </w:t>
      </w:r>
      <w:r w:rsidRPr="00D822C6">
        <w:rPr>
          <w:shd w:val="clear" w:color="auto" w:fill="FFFFFF"/>
        </w:rPr>
        <w:t>ECLI:EU:C:2017:203.</w:t>
      </w:r>
      <w:r w:rsidRPr="00D822C6">
        <w:rPr>
          <w:lang w:val="en-US"/>
        </w:rPr>
        <w:t xml:space="preserve"> </w:t>
      </w:r>
    </w:p>
    <w:p w14:paraId="3C43435D" w14:textId="77777777" w:rsidR="00930143" w:rsidRPr="00D822C6" w:rsidRDefault="00930143" w:rsidP="00930143">
      <w:pPr>
        <w:autoSpaceDE w:val="0"/>
        <w:autoSpaceDN w:val="0"/>
        <w:adjustRightInd w:val="0"/>
        <w:jc w:val="both"/>
        <w:rPr>
          <w:lang w:val="en-US"/>
        </w:rPr>
      </w:pPr>
    </w:p>
    <w:p w14:paraId="7B7C1C6D" w14:textId="77777777" w:rsidR="00930143" w:rsidRPr="00D822C6" w:rsidRDefault="00930143" w:rsidP="00930143">
      <w:pPr>
        <w:pStyle w:val="FootnoteText"/>
        <w:jc w:val="both"/>
        <w:rPr>
          <w:sz w:val="24"/>
          <w:szCs w:val="24"/>
        </w:rPr>
      </w:pPr>
      <w:proofErr w:type="spellStart"/>
      <w:r w:rsidRPr="002869A3">
        <w:rPr>
          <w:sz w:val="24"/>
          <w:szCs w:val="24"/>
        </w:rPr>
        <w:t>Sas</w:t>
      </w:r>
      <w:proofErr w:type="spellEnd"/>
      <w:r w:rsidRPr="002869A3">
        <w:rPr>
          <w:sz w:val="24"/>
          <w:szCs w:val="24"/>
        </w:rPr>
        <w:t xml:space="preserve"> v. France,</w:t>
      </w:r>
      <w:r w:rsidRPr="00D822C6">
        <w:rPr>
          <w:sz w:val="24"/>
          <w:szCs w:val="24"/>
        </w:rPr>
        <w:t xml:space="preserve"> App. no. 43835/11, Judgment of  1 July 2014.</w:t>
      </w:r>
    </w:p>
    <w:p w14:paraId="635B730A" w14:textId="77777777" w:rsidR="00930143" w:rsidRPr="00D822C6" w:rsidRDefault="00930143" w:rsidP="00930143">
      <w:pPr>
        <w:pStyle w:val="FootnoteText"/>
        <w:jc w:val="both"/>
        <w:rPr>
          <w:sz w:val="24"/>
          <w:szCs w:val="24"/>
        </w:rPr>
      </w:pPr>
    </w:p>
    <w:p w14:paraId="465920C6" w14:textId="77777777" w:rsidR="00930143" w:rsidRPr="00D822C6" w:rsidRDefault="00930143" w:rsidP="00930143">
      <w:pPr>
        <w:pStyle w:val="FootnoteText"/>
        <w:jc w:val="both"/>
        <w:rPr>
          <w:sz w:val="24"/>
          <w:szCs w:val="24"/>
        </w:rPr>
      </w:pPr>
      <w:r w:rsidRPr="00D822C6">
        <w:rPr>
          <w:rFonts w:eastAsiaTheme="minorHAnsi"/>
          <w:sz w:val="24"/>
          <w:szCs w:val="24"/>
          <w:lang w:eastAsia="en-US"/>
        </w:rPr>
        <w:t xml:space="preserve">Schmitt, C., </w:t>
      </w:r>
      <w:r w:rsidRPr="00D822C6">
        <w:rPr>
          <w:rFonts w:eastAsiaTheme="minorHAnsi"/>
          <w:i/>
          <w:iCs/>
          <w:sz w:val="24"/>
          <w:szCs w:val="24"/>
          <w:lang w:eastAsia="en-US"/>
        </w:rPr>
        <w:t>The Concept of Political</w:t>
      </w:r>
      <w:r w:rsidRPr="00D822C6">
        <w:rPr>
          <w:rFonts w:eastAsiaTheme="minorHAnsi"/>
          <w:sz w:val="24"/>
          <w:szCs w:val="24"/>
          <w:lang w:eastAsia="en-US"/>
        </w:rPr>
        <w:t xml:space="preserve"> [1932], trans. G. Schwab, University of Chicago Press, Chicago, 2007. </w:t>
      </w:r>
    </w:p>
    <w:p w14:paraId="644B131C" w14:textId="77777777" w:rsidR="00930143" w:rsidRPr="00D822C6" w:rsidRDefault="00930143" w:rsidP="00930143">
      <w:pPr>
        <w:pStyle w:val="FootnoteText"/>
        <w:jc w:val="both"/>
        <w:rPr>
          <w:sz w:val="24"/>
          <w:szCs w:val="24"/>
        </w:rPr>
      </w:pPr>
    </w:p>
    <w:p w14:paraId="2F290871" w14:textId="77777777" w:rsidR="00930143" w:rsidRPr="00D822C6" w:rsidRDefault="00930143" w:rsidP="00930143">
      <w:pPr>
        <w:pStyle w:val="FootnoteText"/>
        <w:jc w:val="both"/>
        <w:rPr>
          <w:sz w:val="24"/>
          <w:szCs w:val="24"/>
        </w:rPr>
      </w:pPr>
      <w:r w:rsidRPr="00D822C6">
        <w:rPr>
          <w:rFonts w:eastAsiaTheme="minorHAnsi"/>
          <w:sz w:val="24"/>
          <w:szCs w:val="24"/>
          <w:lang w:eastAsia="en-US"/>
        </w:rPr>
        <w:t xml:space="preserve">Sunstein, C., </w:t>
      </w:r>
      <w:r w:rsidRPr="00D822C6">
        <w:rPr>
          <w:rFonts w:eastAsiaTheme="minorHAnsi"/>
          <w:i/>
          <w:iCs/>
          <w:sz w:val="24"/>
          <w:szCs w:val="24"/>
          <w:lang w:eastAsia="en-US"/>
        </w:rPr>
        <w:t>Designing Democracy: What Constitutions Do</w:t>
      </w:r>
      <w:r w:rsidRPr="00D822C6">
        <w:rPr>
          <w:rFonts w:eastAsiaTheme="minorHAnsi"/>
          <w:sz w:val="24"/>
          <w:szCs w:val="24"/>
          <w:lang w:eastAsia="en-US"/>
        </w:rPr>
        <w:t>, Oxford University Press, Oxford, 2001.</w:t>
      </w:r>
    </w:p>
    <w:p w14:paraId="5435A6C6" w14:textId="77777777" w:rsidR="00930143" w:rsidRPr="00D822C6" w:rsidRDefault="00930143" w:rsidP="00930143">
      <w:pPr>
        <w:pStyle w:val="FootnoteText"/>
        <w:jc w:val="both"/>
        <w:rPr>
          <w:sz w:val="24"/>
          <w:szCs w:val="24"/>
        </w:rPr>
      </w:pPr>
    </w:p>
    <w:p w14:paraId="294BDDF6" w14:textId="77777777" w:rsidR="00930143" w:rsidRPr="00D822C6" w:rsidRDefault="00930143" w:rsidP="00930143">
      <w:pPr>
        <w:pStyle w:val="FootnoteText"/>
        <w:jc w:val="both"/>
        <w:rPr>
          <w:sz w:val="24"/>
          <w:szCs w:val="24"/>
        </w:rPr>
      </w:pPr>
      <w:r w:rsidRPr="00D822C6">
        <w:rPr>
          <w:sz w:val="24"/>
          <w:szCs w:val="24"/>
        </w:rPr>
        <w:t xml:space="preserve">The </w:t>
      </w:r>
      <w:r w:rsidRPr="00D822C6">
        <w:rPr>
          <w:rFonts w:eastAsiaTheme="minorHAnsi"/>
          <w:sz w:val="24"/>
          <w:szCs w:val="24"/>
          <w:lang w:eastAsia="en-US"/>
        </w:rPr>
        <w:t>I</w:t>
      </w:r>
      <w:r w:rsidRPr="00D822C6">
        <w:rPr>
          <w:rStyle w:val="cosearchterm"/>
          <w:sz w:val="24"/>
          <w:szCs w:val="24"/>
        </w:rPr>
        <w:t>nternational</w:t>
      </w:r>
      <w:r w:rsidRPr="00D822C6">
        <w:rPr>
          <w:sz w:val="24"/>
          <w:szCs w:val="24"/>
        </w:rPr>
        <w:t> Convention for the Suppression of the Financing of </w:t>
      </w:r>
      <w:r w:rsidRPr="00D822C6">
        <w:rPr>
          <w:rStyle w:val="cosearchterm"/>
          <w:sz w:val="24"/>
          <w:szCs w:val="24"/>
        </w:rPr>
        <w:t>Terrorism,</w:t>
      </w:r>
      <w:r w:rsidRPr="00D822C6">
        <w:rPr>
          <w:sz w:val="24"/>
          <w:szCs w:val="24"/>
        </w:rPr>
        <w:t xml:space="preserve"> the General Assembly of the United Nations, Resolution 54/109, 9 December 1999. </w:t>
      </w:r>
    </w:p>
    <w:p w14:paraId="5E8EECA6" w14:textId="77777777" w:rsidR="00930143" w:rsidRPr="00D822C6" w:rsidRDefault="00930143" w:rsidP="00930143">
      <w:pPr>
        <w:jc w:val="both"/>
        <w:rPr>
          <w:lang w:val="en-US"/>
        </w:rPr>
      </w:pPr>
    </w:p>
    <w:p w14:paraId="2C1984AE" w14:textId="77777777" w:rsidR="00930143" w:rsidRPr="00D822C6" w:rsidRDefault="00930143" w:rsidP="00930143">
      <w:pPr>
        <w:pStyle w:val="FootnoteText"/>
        <w:jc w:val="both"/>
        <w:rPr>
          <w:sz w:val="24"/>
          <w:szCs w:val="24"/>
        </w:rPr>
      </w:pPr>
      <w:r w:rsidRPr="00D822C6">
        <w:rPr>
          <w:sz w:val="24"/>
          <w:szCs w:val="24"/>
        </w:rPr>
        <w:t>The Spanish Constitution,</w:t>
      </w:r>
    </w:p>
    <w:p w14:paraId="6A03E206" w14:textId="77777777" w:rsidR="00930143" w:rsidRPr="00D822C6" w:rsidRDefault="00930143" w:rsidP="00930143">
      <w:pPr>
        <w:pStyle w:val="FootnoteText"/>
        <w:jc w:val="both"/>
        <w:rPr>
          <w:sz w:val="24"/>
          <w:szCs w:val="24"/>
        </w:rPr>
      </w:pPr>
      <w:r w:rsidRPr="00D822C6">
        <w:rPr>
          <w:sz w:val="24"/>
          <w:szCs w:val="24"/>
        </w:rPr>
        <w:t>https://www.boe.es/legislacion/documentos/ConstitucionINGLES.pdf (28 June 2021)</w:t>
      </w:r>
    </w:p>
    <w:p w14:paraId="3202DFB7" w14:textId="77777777" w:rsidR="00930143" w:rsidRDefault="00930143" w:rsidP="00930143">
      <w:pPr>
        <w:jc w:val="both"/>
        <w:rPr>
          <w:lang w:val="en-US"/>
        </w:rPr>
      </w:pPr>
    </w:p>
    <w:p w14:paraId="334D39A9" w14:textId="77777777" w:rsidR="00930143" w:rsidRPr="00D822C6" w:rsidRDefault="00930143" w:rsidP="00930143">
      <w:pPr>
        <w:jc w:val="both"/>
        <w:rPr>
          <w:lang w:val="en-US"/>
        </w:rPr>
      </w:pPr>
      <w:r w:rsidRPr="00D822C6">
        <w:rPr>
          <w:lang w:val="en-US"/>
        </w:rPr>
        <w:t>The U.N. Security Council Resolution 1373,</w:t>
      </w:r>
      <w:r w:rsidRPr="00D822C6">
        <w:rPr>
          <w:shd w:val="clear" w:color="auto" w:fill="FFFFFF"/>
        </w:rPr>
        <w:t xml:space="preserve"> 28 September 2001</w:t>
      </w:r>
      <w:r w:rsidRPr="00D822C6">
        <w:rPr>
          <w:shd w:val="clear" w:color="auto" w:fill="FFFFFF"/>
          <w:lang w:val="en-US"/>
        </w:rPr>
        <w:t>.</w:t>
      </w:r>
      <w:r w:rsidRPr="00D822C6">
        <w:rPr>
          <w:color w:val="0E101A"/>
          <w:lang w:val="en-US"/>
        </w:rPr>
        <w:t xml:space="preserve"> </w:t>
      </w:r>
    </w:p>
    <w:p w14:paraId="7356351B" w14:textId="77777777" w:rsidR="00930143" w:rsidRDefault="00930143" w:rsidP="00930143">
      <w:pPr>
        <w:pStyle w:val="FootnoteText"/>
        <w:jc w:val="both"/>
        <w:rPr>
          <w:sz w:val="24"/>
          <w:szCs w:val="24"/>
        </w:rPr>
      </w:pPr>
    </w:p>
    <w:p w14:paraId="4D403FD3" w14:textId="77777777" w:rsidR="00930143" w:rsidRPr="00D822C6" w:rsidRDefault="00930143" w:rsidP="00930143">
      <w:pPr>
        <w:pStyle w:val="FootnoteText"/>
        <w:jc w:val="both"/>
        <w:rPr>
          <w:sz w:val="24"/>
          <w:szCs w:val="24"/>
        </w:rPr>
      </w:pPr>
      <w:r w:rsidRPr="00D822C6">
        <w:rPr>
          <w:sz w:val="24"/>
          <w:szCs w:val="24"/>
        </w:rPr>
        <w:t xml:space="preserve">Thiel, M., </w:t>
      </w:r>
      <w:r w:rsidRPr="00D822C6">
        <w:rPr>
          <w:i/>
          <w:iCs/>
          <w:sz w:val="24"/>
          <w:szCs w:val="24"/>
        </w:rPr>
        <w:t>Comparative Aspects</w:t>
      </w:r>
      <w:r w:rsidRPr="00D822C6">
        <w:rPr>
          <w:sz w:val="24"/>
          <w:szCs w:val="24"/>
        </w:rPr>
        <w:t xml:space="preserve">, in: Markus, T., (ed.), </w:t>
      </w:r>
      <w:r w:rsidRPr="00D822C6">
        <w:rPr>
          <w:i/>
          <w:iCs/>
          <w:sz w:val="24"/>
          <w:szCs w:val="24"/>
        </w:rPr>
        <w:t>The ‘Militant Democracy’ Principle in Modern Democracies</w:t>
      </w:r>
      <w:r w:rsidRPr="00D822C6">
        <w:rPr>
          <w:sz w:val="24"/>
          <w:szCs w:val="24"/>
        </w:rPr>
        <w:t xml:space="preserve">, Ashgate Publishing Limited, Farnham, Burlington,2009, pp.379-424.  </w:t>
      </w:r>
    </w:p>
    <w:p w14:paraId="34DD5499" w14:textId="77777777" w:rsidR="00930143" w:rsidRPr="00D822C6" w:rsidRDefault="00930143" w:rsidP="00930143">
      <w:pPr>
        <w:autoSpaceDE w:val="0"/>
        <w:autoSpaceDN w:val="0"/>
        <w:adjustRightInd w:val="0"/>
        <w:jc w:val="both"/>
        <w:rPr>
          <w:color w:val="000000"/>
          <w:lang w:val="en-US"/>
        </w:rPr>
      </w:pPr>
    </w:p>
    <w:p w14:paraId="2A034E58" w14:textId="77777777" w:rsidR="00930143" w:rsidRPr="00D822C6" w:rsidRDefault="00930143" w:rsidP="00930143">
      <w:pPr>
        <w:jc w:val="both"/>
        <w:rPr>
          <w:lang w:val="en-US"/>
        </w:rPr>
      </w:pPr>
      <w:r w:rsidRPr="002869A3">
        <w:rPr>
          <w:lang w:val="en-US"/>
        </w:rPr>
        <w:t>T</w:t>
      </w:r>
      <w:r w:rsidRPr="002869A3">
        <w:rPr>
          <w:rStyle w:val="Emphasis"/>
          <w:i w:val="0"/>
          <w:iCs w:val="0"/>
          <w:shd w:val="clear" w:color="auto" w:fill="FFFFFF"/>
        </w:rPr>
        <w:t>rump v</w:t>
      </w:r>
      <w:r w:rsidRPr="002869A3">
        <w:rPr>
          <w:i/>
          <w:iCs/>
          <w:shd w:val="clear" w:color="auto" w:fill="FFFFFF"/>
        </w:rPr>
        <w:t>. </w:t>
      </w:r>
      <w:r w:rsidRPr="002869A3">
        <w:rPr>
          <w:rStyle w:val="Emphasis"/>
          <w:i w:val="0"/>
          <w:iCs w:val="0"/>
          <w:shd w:val="clear" w:color="auto" w:fill="FFFFFF"/>
        </w:rPr>
        <w:t>Hawaii</w:t>
      </w:r>
      <w:r w:rsidRPr="002869A3">
        <w:rPr>
          <w:shd w:val="clear" w:color="auto" w:fill="FFFFFF"/>
        </w:rPr>
        <w:t>,</w:t>
      </w:r>
      <w:r w:rsidRPr="00D822C6">
        <w:rPr>
          <w:shd w:val="clear" w:color="auto" w:fill="FFFFFF"/>
        </w:rPr>
        <w:t xml:space="preserve"> 138 </w:t>
      </w:r>
      <w:proofErr w:type="spellStart"/>
      <w:r w:rsidRPr="00D822C6">
        <w:rPr>
          <w:shd w:val="clear" w:color="auto" w:fill="FFFFFF"/>
        </w:rPr>
        <w:t>S.Ct</w:t>
      </w:r>
      <w:proofErr w:type="spellEnd"/>
      <w:r w:rsidRPr="00D822C6">
        <w:rPr>
          <w:shd w:val="clear" w:color="auto" w:fill="FFFFFF"/>
        </w:rPr>
        <w:t>. 2392 (2018)</w:t>
      </w:r>
      <w:r w:rsidRPr="00D822C6">
        <w:rPr>
          <w:shd w:val="clear" w:color="auto" w:fill="FFFFFF"/>
          <w:lang w:val="en-US"/>
        </w:rPr>
        <w:t xml:space="preserve">. </w:t>
      </w:r>
    </w:p>
    <w:p w14:paraId="5BE15ADC" w14:textId="77777777" w:rsidR="00930143" w:rsidRPr="00D822C6" w:rsidRDefault="00930143" w:rsidP="00930143">
      <w:pPr>
        <w:jc w:val="both"/>
        <w:rPr>
          <w:rFonts w:eastAsiaTheme="minorHAnsi"/>
          <w:i/>
          <w:iCs/>
          <w:lang w:val="en-US" w:eastAsia="en-US"/>
        </w:rPr>
      </w:pPr>
    </w:p>
    <w:p w14:paraId="6F67A267" w14:textId="77777777" w:rsidR="00930143" w:rsidRPr="00D822C6" w:rsidRDefault="00930143" w:rsidP="00930143">
      <w:pPr>
        <w:pStyle w:val="FootnoteText"/>
        <w:jc w:val="both"/>
        <w:rPr>
          <w:sz w:val="24"/>
          <w:szCs w:val="24"/>
        </w:rPr>
      </w:pPr>
      <w:proofErr w:type="spellStart"/>
      <w:r w:rsidRPr="00D822C6">
        <w:rPr>
          <w:sz w:val="24"/>
          <w:szCs w:val="24"/>
        </w:rPr>
        <w:t>Tushnet</w:t>
      </w:r>
      <w:proofErr w:type="spellEnd"/>
      <w:r w:rsidRPr="00D822C6">
        <w:rPr>
          <w:sz w:val="24"/>
          <w:szCs w:val="24"/>
        </w:rPr>
        <w:t xml:space="preserve">, M., </w:t>
      </w:r>
      <w:r w:rsidRPr="00D822C6">
        <w:rPr>
          <w:i/>
          <w:iCs/>
          <w:sz w:val="24"/>
          <w:szCs w:val="24"/>
        </w:rPr>
        <w:t>United States of America</w:t>
      </w:r>
      <w:r w:rsidRPr="00D822C6">
        <w:rPr>
          <w:sz w:val="24"/>
          <w:szCs w:val="24"/>
        </w:rPr>
        <w:t xml:space="preserve">, in: Markus, T., (ed.), </w:t>
      </w:r>
      <w:r w:rsidRPr="00D822C6">
        <w:rPr>
          <w:i/>
          <w:iCs/>
          <w:sz w:val="24"/>
          <w:szCs w:val="24"/>
        </w:rPr>
        <w:t>The ‘Militant Democracy’ Principle in Modern Democracies</w:t>
      </w:r>
      <w:r w:rsidRPr="00D822C6">
        <w:rPr>
          <w:sz w:val="24"/>
          <w:szCs w:val="24"/>
        </w:rPr>
        <w:t>, Ashgate Publishing Limited, Farnham, Burlington,2009, pp.357-377.</w:t>
      </w:r>
    </w:p>
    <w:p w14:paraId="75CE4C9D" w14:textId="77777777" w:rsidR="00930143" w:rsidRPr="00D822C6" w:rsidRDefault="00930143" w:rsidP="00930143">
      <w:pPr>
        <w:jc w:val="both"/>
        <w:rPr>
          <w:rFonts w:eastAsiaTheme="minorHAnsi"/>
          <w:i/>
          <w:iCs/>
          <w:lang w:val="en-US" w:eastAsia="en-US"/>
        </w:rPr>
      </w:pPr>
    </w:p>
    <w:p w14:paraId="64CB2949" w14:textId="65064179" w:rsidR="00930143" w:rsidRPr="00930143" w:rsidRDefault="00930143" w:rsidP="00930143">
      <w:pPr>
        <w:jc w:val="both"/>
      </w:pPr>
      <w:r w:rsidRPr="002869A3">
        <w:rPr>
          <w:rFonts w:eastAsiaTheme="minorHAnsi"/>
          <w:lang w:val="en-US" w:eastAsia="en-US"/>
        </w:rPr>
        <w:t>United Communist Party of Turkey and Others v. Turkey</w:t>
      </w:r>
      <w:r w:rsidRPr="00D822C6">
        <w:rPr>
          <w:rFonts w:eastAsiaTheme="minorHAnsi"/>
          <w:lang w:val="en-US" w:eastAsia="en-US"/>
        </w:rPr>
        <w:t>, App.no.</w:t>
      </w:r>
      <w:r w:rsidRPr="00D822C6">
        <w:rPr>
          <w:color w:val="000000"/>
          <w:shd w:val="clear" w:color="auto" w:fill="FFFFFF"/>
        </w:rPr>
        <w:t>133/1996/752/951</w:t>
      </w:r>
      <w:r w:rsidRPr="00D822C6">
        <w:rPr>
          <w:lang w:val="en-US"/>
        </w:rPr>
        <w:t xml:space="preserve">, </w:t>
      </w:r>
      <w:r w:rsidRPr="00D822C6">
        <w:rPr>
          <w:rFonts w:eastAsiaTheme="minorHAnsi"/>
          <w:lang w:val="en-US" w:eastAsia="en-US"/>
        </w:rPr>
        <w:t>Judgment of 30 January 1998</w:t>
      </w:r>
      <w:r>
        <w:rPr>
          <w:rFonts w:eastAsiaTheme="minorHAnsi"/>
          <w:lang w:val="en-US" w:eastAsia="en-US"/>
        </w:rPr>
        <w:t>.</w:t>
      </w:r>
    </w:p>
    <w:p w14:paraId="60FBB593" w14:textId="77777777" w:rsidR="00930143" w:rsidRPr="00D822C6" w:rsidRDefault="00930143" w:rsidP="00930143">
      <w:pPr>
        <w:keepLines/>
        <w:jc w:val="both"/>
        <w:rPr>
          <w:rFonts w:eastAsiaTheme="minorHAnsi"/>
          <w:lang w:val="en-US" w:eastAsia="en-US"/>
        </w:rPr>
      </w:pPr>
      <w:proofErr w:type="spellStart"/>
      <w:r w:rsidRPr="00D822C6">
        <w:rPr>
          <w:rFonts w:eastAsiaTheme="minorHAnsi"/>
          <w:lang w:val="en-US" w:eastAsia="en-US"/>
        </w:rPr>
        <w:lastRenderedPageBreak/>
        <w:t>Urbinati</w:t>
      </w:r>
      <w:proofErr w:type="spellEnd"/>
      <w:r w:rsidRPr="00D822C6">
        <w:rPr>
          <w:rFonts w:eastAsiaTheme="minorHAnsi"/>
          <w:lang w:val="en-US" w:eastAsia="en-US"/>
        </w:rPr>
        <w:t>, N.,</w:t>
      </w:r>
      <w:r w:rsidRPr="00D822C6">
        <w:rPr>
          <w:rFonts w:eastAsiaTheme="minorHAnsi"/>
          <w:i/>
          <w:iCs/>
          <w:lang w:val="en-US" w:eastAsia="en-US"/>
        </w:rPr>
        <w:t xml:space="preserve"> Me The People: How Populism Transforms Democracy, </w:t>
      </w:r>
      <w:r w:rsidRPr="00D822C6">
        <w:rPr>
          <w:rFonts w:eastAsiaTheme="minorHAnsi"/>
          <w:lang w:val="en-US" w:eastAsia="en-US"/>
        </w:rPr>
        <w:t xml:space="preserve">Harvard University Press, </w:t>
      </w:r>
      <w:r w:rsidRPr="00D822C6">
        <w:rPr>
          <w:color w:val="000000"/>
          <w:spacing w:val="-5"/>
          <w:shd w:val="clear" w:color="auto" w:fill="FFFFFF"/>
        </w:rPr>
        <w:t>Cambridge, Massachusetts; London, England</w:t>
      </w:r>
      <w:r w:rsidRPr="00D822C6">
        <w:rPr>
          <w:color w:val="000000"/>
          <w:spacing w:val="-5"/>
          <w:shd w:val="clear" w:color="auto" w:fill="FFFFFF"/>
          <w:lang w:val="en-US"/>
        </w:rPr>
        <w:t xml:space="preserve">, </w:t>
      </w:r>
      <w:r w:rsidRPr="00D822C6">
        <w:rPr>
          <w:rFonts w:eastAsiaTheme="minorHAnsi"/>
          <w:lang w:val="en-US" w:eastAsia="en-US"/>
        </w:rPr>
        <w:t>2019.</w:t>
      </w:r>
    </w:p>
    <w:p w14:paraId="3371C35C" w14:textId="77777777" w:rsidR="00930143" w:rsidRPr="00D822C6" w:rsidRDefault="00930143" w:rsidP="00930143">
      <w:pPr>
        <w:autoSpaceDE w:val="0"/>
        <w:autoSpaceDN w:val="0"/>
        <w:adjustRightInd w:val="0"/>
        <w:jc w:val="both"/>
        <w:rPr>
          <w:rFonts w:eastAsiaTheme="minorHAnsi"/>
          <w:lang w:eastAsia="en-US"/>
        </w:rPr>
      </w:pPr>
    </w:p>
    <w:p w14:paraId="2E607D09" w14:textId="77777777" w:rsidR="00930143" w:rsidRPr="00D822C6" w:rsidRDefault="00930143" w:rsidP="00930143">
      <w:pPr>
        <w:keepLines/>
        <w:jc w:val="both"/>
        <w:rPr>
          <w:lang w:val="en-US"/>
        </w:rPr>
      </w:pPr>
      <w:proofErr w:type="spellStart"/>
      <w:r w:rsidRPr="002869A3">
        <w:rPr>
          <w:rStyle w:val="Emphasis"/>
          <w:i w:val="0"/>
          <w:iCs w:val="0"/>
          <w:shd w:val="clear" w:color="auto" w:fill="FFFFFF"/>
        </w:rPr>
        <w:t>Várady</w:t>
      </w:r>
      <w:proofErr w:type="spellEnd"/>
      <w:r w:rsidRPr="00D822C6">
        <w:t xml:space="preserve">, T., </w:t>
      </w:r>
      <w:r w:rsidRPr="00D822C6">
        <w:rPr>
          <w:rFonts w:eastAsiaTheme="minorHAnsi"/>
          <w:i/>
          <w:iCs/>
          <w:lang w:eastAsia="en-US"/>
        </w:rPr>
        <w:t>Populism – A Notion Rising above Its Content</w:t>
      </w:r>
      <w:r w:rsidRPr="00D822C6">
        <w:rPr>
          <w:rFonts w:eastAsiaTheme="minorHAnsi"/>
          <w:lang w:eastAsia="en-US"/>
        </w:rPr>
        <w:t>, in:</w:t>
      </w:r>
      <w:r w:rsidRPr="00D822C6">
        <w:t xml:space="preserve"> </w:t>
      </w:r>
      <w:proofErr w:type="spellStart"/>
      <w:r w:rsidRPr="00D822C6">
        <w:t>Beširević,V</w:t>
      </w:r>
      <w:proofErr w:type="spellEnd"/>
      <w:r w:rsidRPr="00D822C6">
        <w:t xml:space="preserve">.,(ed.), </w:t>
      </w:r>
      <w:r w:rsidRPr="00D822C6">
        <w:rPr>
          <w:i/>
          <w:iCs/>
          <w:lang w:val="en-US"/>
        </w:rPr>
        <w:t>New Politics of Decisionism</w:t>
      </w:r>
      <w:r w:rsidRPr="00D822C6">
        <w:rPr>
          <w:lang w:val="en-US"/>
        </w:rPr>
        <w:t xml:space="preserve">, Eleven International Publishing, The Hague, 2019, </w:t>
      </w:r>
      <w:r w:rsidRPr="00D822C6">
        <w:rPr>
          <w:color w:val="000000"/>
        </w:rPr>
        <w:t xml:space="preserve">pp. 37-51.  </w:t>
      </w:r>
      <w:r w:rsidRPr="00D822C6">
        <w:t xml:space="preserve">  </w:t>
      </w:r>
    </w:p>
    <w:p w14:paraId="46A9893A" w14:textId="77777777" w:rsidR="00930143" w:rsidRPr="00D822C6" w:rsidRDefault="00930143" w:rsidP="00930143">
      <w:pPr>
        <w:autoSpaceDE w:val="0"/>
        <w:autoSpaceDN w:val="0"/>
        <w:adjustRightInd w:val="0"/>
        <w:jc w:val="both"/>
        <w:rPr>
          <w:rFonts w:eastAsiaTheme="minorHAnsi"/>
          <w:lang w:eastAsia="en-US"/>
        </w:rPr>
      </w:pPr>
    </w:p>
    <w:p w14:paraId="7102506E" w14:textId="77777777" w:rsidR="00930143" w:rsidRPr="00D822C6" w:rsidRDefault="00930143" w:rsidP="00930143">
      <w:pPr>
        <w:jc w:val="both"/>
        <w:rPr>
          <w:lang w:val="en-US"/>
        </w:rPr>
      </w:pPr>
      <w:proofErr w:type="spellStart"/>
      <w:r w:rsidRPr="002869A3">
        <w:rPr>
          <w:rStyle w:val="Emphasis"/>
          <w:i w:val="0"/>
          <w:iCs w:val="0"/>
          <w:shd w:val="clear" w:color="auto" w:fill="FFFFFF"/>
          <w:lang w:val="en-US"/>
        </w:rPr>
        <w:t>Vona</w:t>
      </w:r>
      <w:proofErr w:type="spellEnd"/>
      <w:r w:rsidRPr="002869A3">
        <w:rPr>
          <w:i/>
          <w:iCs/>
          <w:shd w:val="clear" w:color="auto" w:fill="FFFFFF"/>
          <w:lang w:val="en-US"/>
        </w:rPr>
        <w:t> </w:t>
      </w:r>
      <w:r w:rsidRPr="002869A3">
        <w:rPr>
          <w:rStyle w:val="Emphasis"/>
          <w:i w:val="0"/>
          <w:iCs w:val="0"/>
          <w:shd w:val="clear" w:color="auto" w:fill="FFFFFF"/>
          <w:lang w:val="en-US"/>
        </w:rPr>
        <w:t>v</w:t>
      </w:r>
      <w:r w:rsidRPr="002869A3">
        <w:rPr>
          <w:i/>
          <w:iCs/>
          <w:shd w:val="clear" w:color="auto" w:fill="FFFFFF"/>
          <w:lang w:val="en-US"/>
        </w:rPr>
        <w:t>. </w:t>
      </w:r>
      <w:r w:rsidRPr="002869A3">
        <w:rPr>
          <w:rStyle w:val="Emphasis"/>
          <w:i w:val="0"/>
          <w:iCs w:val="0"/>
          <w:shd w:val="clear" w:color="auto" w:fill="FFFFFF"/>
          <w:lang w:val="en-US"/>
        </w:rPr>
        <w:t>Hungary</w:t>
      </w:r>
      <w:r w:rsidRPr="00D822C6">
        <w:rPr>
          <w:shd w:val="clear" w:color="auto" w:fill="FFFFFF"/>
          <w:lang w:val="en-US"/>
        </w:rPr>
        <w:t>, App. No. 35943/10, Judgment of 9 July 2013. </w:t>
      </w:r>
    </w:p>
    <w:p w14:paraId="00D48E6A" w14:textId="77777777" w:rsidR="00930143" w:rsidRPr="00D822C6" w:rsidRDefault="00930143" w:rsidP="00930143">
      <w:pPr>
        <w:autoSpaceDE w:val="0"/>
        <w:autoSpaceDN w:val="0"/>
        <w:adjustRightInd w:val="0"/>
        <w:jc w:val="both"/>
        <w:rPr>
          <w:rFonts w:eastAsiaTheme="minorHAnsi"/>
          <w:lang w:val="en-US" w:eastAsia="en-US"/>
        </w:rPr>
      </w:pPr>
    </w:p>
    <w:p w14:paraId="7568351F" w14:textId="77777777" w:rsidR="00930143" w:rsidRPr="00D822C6" w:rsidRDefault="00930143" w:rsidP="00930143">
      <w:pPr>
        <w:autoSpaceDE w:val="0"/>
        <w:autoSpaceDN w:val="0"/>
        <w:adjustRightInd w:val="0"/>
        <w:jc w:val="both"/>
        <w:rPr>
          <w:rFonts w:eastAsiaTheme="minorHAnsi"/>
          <w:lang w:eastAsia="en-US"/>
        </w:rPr>
      </w:pPr>
      <w:r w:rsidRPr="00D822C6">
        <w:rPr>
          <w:rFonts w:eastAsiaTheme="minorHAnsi"/>
          <w:lang w:val="en-US" w:eastAsia="en-US"/>
        </w:rPr>
        <w:t>Walker</w:t>
      </w:r>
      <w:r w:rsidRPr="00D822C6">
        <w:rPr>
          <w:rFonts w:eastAsiaTheme="minorHAnsi"/>
          <w:lang w:eastAsia="en-US"/>
        </w:rPr>
        <w:t xml:space="preserve">, C., </w:t>
      </w:r>
      <w:r w:rsidRPr="00D822C6">
        <w:rPr>
          <w:rFonts w:eastAsiaTheme="minorHAnsi"/>
          <w:i/>
          <w:iCs/>
          <w:lang w:eastAsia="en-US"/>
        </w:rPr>
        <w:t>Militant Speech about Terrorism in a Smart Militant Democracy</w:t>
      </w:r>
      <w:r w:rsidRPr="00D822C6">
        <w:rPr>
          <w:rFonts w:eastAsiaTheme="minorHAnsi"/>
          <w:lang w:eastAsia="en-US"/>
        </w:rPr>
        <w:t xml:space="preserve">, Mississippi Law Journal, vol.80, no.1, 2011, pp. 1395-1453. </w:t>
      </w:r>
    </w:p>
    <w:p w14:paraId="39CAE471" w14:textId="77777777" w:rsidR="00930143" w:rsidRPr="00D822C6" w:rsidRDefault="00930143" w:rsidP="00930143">
      <w:pPr>
        <w:autoSpaceDE w:val="0"/>
        <w:autoSpaceDN w:val="0"/>
        <w:adjustRightInd w:val="0"/>
        <w:jc w:val="both"/>
        <w:rPr>
          <w:rFonts w:eastAsiaTheme="minorHAnsi"/>
          <w:lang w:eastAsia="en-US"/>
        </w:rPr>
      </w:pPr>
    </w:p>
    <w:p w14:paraId="37AAA3EF" w14:textId="77777777" w:rsidR="00930143" w:rsidRPr="00D822C6" w:rsidRDefault="00930143" w:rsidP="00930143">
      <w:pPr>
        <w:pStyle w:val="FootnoteText"/>
        <w:jc w:val="both"/>
        <w:rPr>
          <w:sz w:val="24"/>
          <w:szCs w:val="24"/>
        </w:rPr>
      </w:pPr>
      <w:proofErr w:type="spellStart"/>
      <w:r w:rsidRPr="00D822C6">
        <w:rPr>
          <w:rFonts w:eastAsiaTheme="minorHAnsi"/>
          <w:sz w:val="24"/>
          <w:szCs w:val="24"/>
          <w:lang w:eastAsia="en-US"/>
        </w:rPr>
        <w:t>Weiler</w:t>
      </w:r>
      <w:proofErr w:type="spellEnd"/>
      <w:r w:rsidRPr="00D822C6">
        <w:rPr>
          <w:rFonts w:eastAsiaTheme="minorHAnsi"/>
          <w:sz w:val="24"/>
          <w:szCs w:val="24"/>
          <w:lang w:eastAsia="en-US"/>
        </w:rPr>
        <w:t xml:space="preserve">, J.H.H., </w:t>
      </w:r>
      <w:r w:rsidRPr="00D822C6">
        <w:rPr>
          <w:rFonts w:eastAsiaTheme="minorHAnsi"/>
          <w:i/>
          <w:iCs/>
          <w:sz w:val="24"/>
          <w:szCs w:val="24"/>
          <w:lang w:eastAsia="en-US"/>
        </w:rPr>
        <w:t>Epilogue: Living in a Glass House: Europe, Democracy and the Rule of Law</w:t>
      </w:r>
      <w:r w:rsidRPr="00D822C6">
        <w:rPr>
          <w:rFonts w:eastAsiaTheme="minorHAnsi"/>
          <w:sz w:val="24"/>
          <w:szCs w:val="24"/>
          <w:lang w:eastAsia="en-US"/>
        </w:rPr>
        <w:t xml:space="preserve">, in: </w:t>
      </w:r>
      <w:proofErr w:type="spellStart"/>
      <w:r w:rsidRPr="00D822C6">
        <w:rPr>
          <w:rFonts w:eastAsiaTheme="minorHAnsi"/>
          <w:sz w:val="24"/>
          <w:szCs w:val="24"/>
          <w:lang w:eastAsia="en-US"/>
        </w:rPr>
        <w:t>Closa</w:t>
      </w:r>
      <w:proofErr w:type="spellEnd"/>
      <w:r w:rsidRPr="00D822C6">
        <w:rPr>
          <w:rFonts w:eastAsiaTheme="minorHAnsi"/>
          <w:sz w:val="24"/>
          <w:szCs w:val="24"/>
          <w:lang w:eastAsia="en-US"/>
        </w:rPr>
        <w:t xml:space="preserve">, C.; Kochenov, D. (eds.), </w:t>
      </w:r>
      <w:r w:rsidRPr="00D822C6">
        <w:rPr>
          <w:rFonts w:eastAsiaTheme="minorHAnsi"/>
          <w:i/>
          <w:iCs/>
          <w:sz w:val="24"/>
          <w:szCs w:val="24"/>
          <w:lang w:eastAsia="en-US"/>
        </w:rPr>
        <w:t>Reinforcing the Rule of Law Oversight in the European Union</w:t>
      </w:r>
      <w:r w:rsidRPr="00D822C6">
        <w:rPr>
          <w:rFonts w:eastAsiaTheme="minorHAnsi"/>
          <w:sz w:val="24"/>
          <w:szCs w:val="24"/>
          <w:lang w:eastAsia="en-US"/>
        </w:rPr>
        <w:t>, Cambridge University Press, Cambridge,2016, pp.313-326.</w:t>
      </w:r>
    </w:p>
    <w:p w14:paraId="285FDC58" w14:textId="77777777" w:rsidR="00930143" w:rsidRPr="00D822C6" w:rsidRDefault="00930143" w:rsidP="00930143">
      <w:pPr>
        <w:pStyle w:val="FootnoteText"/>
        <w:jc w:val="both"/>
        <w:rPr>
          <w:sz w:val="24"/>
          <w:szCs w:val="24"/>
        </w:rPr>
      </w:pPr>
    </w:p>
    <w:p w14:paraId="0094F19E" w14:textId="77777777" w:rsidR="00930143" w:rsidRPr="00D822C6" w:rsidRDefault="00930143" w:rsidP="00930143">
      <w:pPr>
        <w:pStyle w:val="FootnoteText"/>
        <w:jc w:val="both"/>
        <w:rPr>
          <w:sz w:val="24"/>
          <w:szCs w:val="24"/>
        </w:rPr>
      </w:pPr>
    </w:p>
    <w:p w14:paraId="6D05DF1C" w14:textId="77777777" w:rsidR="00930143" w:rsidRPr="00D822C6" w:rsidRDefault="00930143" w:rsidP="00930143">
      <w:pPr>
        <w:pStyle w:val="FootnoteText"/>
        <w:jc w:val="both"/>
        <w:rPr>
          <w:sz w:val="24"/>
          <w:szCs w:val="24"/>
        </w:rPr>
      </w:pPr>
    </w:p>
    <w:p w14:paraId="2C6C5AB2" w14:textId="0E49309F" w:rsidR="00CA177C" w:rsidRPr="00930143" w:rsidRDefault="00CA177C" w:rsidP="00930143">
      <w:pPr>
        <w:pStyle w:val="FootnoteText"/>
        <w:jc w:val="center"/>
        <w:rPr>
          <w:rStyle w:val="Emphasis"/>
          <w:i w:val="0"/>
          <w:iCs w:val="0"/>
          <w:sz w:val="24"/>
          <w:szCs w:val="24"/>
        </w:rPr>
      </w:pPr>
      <w:proofErr w:type="spellStart"/>
      <w:r w:rsidRPr="00930143">
        <w:rPr>
          <w:rStyle w:val="Emphasis"/>
          <w:i w:val="0"/>
          <w:iCs w:val="0"/>
          <w:color w:val="0E101A"/>
          <w:sz w:val="24"/>
          <w:szCs w:val="24"/>
        </w:rPr>
        <w:t>Sažetak</w:t>
      </w:r>
      <w:proofErr w:type="spellEnd"/>
    </w:p>
    <w:p w14:paraId="646B112C" w14:textId="7A7EC436" w:rsidR="00CA177C" w:rsidRDefault="00CA177C" w:rsidP="00EA0637">
      <w:pPr>
        <w:jc w:val="center"/>
        <w:rPr>
          <w:rStyle w:val="Emphasis"/>
          <w:i w:val="0"/>
          <w:iCs w:val="0"/>
          <w:color w:val="0E101A"/>
          <w:lang w:val="en-US"/>
        </w:rPr>
      </w:pPr>
    </w:p>
    <w:p w14:paraId="6C3A35CA" w14:textId="6667C982" w:rsidR="00CA177C" w:rsidRPr="00CA177C" w:rsidRDefault="00CA177C" w:rsidP="00EA0637">
      <w:pPr>
        <w:jc w:val="center"/>
        <w:rPr>
          <w:rStyle w:val="Emphasis"/>
          <w:i w:val="0"/>
          <w:iCs w:val="0"/>
          <w:color w:val="0E101A"/>
          <w:lang w:val="en-US"/>
        </w:rPr>
      </w:pPr>
      <w:r>
        <w:rPr>
          <w:rStyle w:val="Emphasis"/>
          <w:i w:val="0"/>
          <w:iCs w:val="0"/>
          <w:color w:val="0E101A"/>
          <w:lang w:val="en-US"/>
        </w:rPr>
        <w:t>Violeta Beširević</w:t>
      </w:r>
      <w:r w:rsidRPr="004033B1">
        <w:rPr>
          <w:rStyle w:val="FootnoteReference"/>
          <w:bCs/>
          <w:i/>
          <w:iCs/>
          <w:lang w:val="en-US"/>
        </w:rPr>
        <w:footnoteReference w:customMarkFollows="1" w:id="94"/>
        <w:sym w:font="Symbol" w:char="F02A"/>
      </w:r>
    </w:p>
    <w:p w14:paraId="7925FBFA" w14:textId="77777777" w:rsidR="00CA177C" w:rsidRDefault="00CA177C" w:rsidP="00EA0637">
      <w:pPr>
        <w:jc w:val="center"/>
        <w:rPr>
          <w:rStyle w:val="Emphasis"/>
          <w:b/>
          <w:bCs/>
          <w:i w:val="0"/>
          <w:iCs w:val="0"/>
          <w:color w:val="0E101A"/>
          <w:lang w:val="en-US"/>
        </w:rPr>
      </w:pPr>
    </w:p>
    <w:p w14:paraId="20608005" w14:textId="235AF2C2" w:rsidR="00EA0637" w:rsidRPr="00EA0637" w:rsidRDefault="00EA0637" w:rsidP="00EA0637">
      <w:pPr>
        <w:jc w:val="center"/>
        <w:rPr>
          <w:rStyle w:val="Emphasis"/>
          <w:b/>
          <w:bCs/>
          <w:i w:val="0"/>
          <w:iCs w:val="0"/>
          <w:color w:val="0E101A"/>
          <w:lang w:val="en-US"/>
        </w:rPr>
      </w:pPr>
      <w:r w:rsidRPr="00EA0637">
        <w:rPr>
          <w:rStyle w:val="Emphasis"/>
          <w:b/>
          <w:bCs/>
          <w:i w:val="0"/>
          <w:iCs w:val="0"/>
          <w:color w:val="0E101A"/>
          <w:lang w:val="en-US"/>
        </w:rPr>
        <w:t>MILITANTNA DEMOKR</w:t>
      </w:r>
      <w:r>
        <w:rPr>
          <w:rStyle w:val="Emphasis"/>
          <w:b/>
          <w:bCs/>
          <w:i w:val="0"/>
          <w:iCs w:val="0"/>
          <w:color w:val="0E101A"/>
          <w:lang w:val="en-US"/>
        </w:rPr>
        <w:t>ACIJA</w:t>
      </w:r>
      <w:r w:rsidRPr="00EA0637">
        <w:rPr>
          <w:rStyle w:val="Emphasis"/>
          <w:b/>
          <w:bCs/>
          <w:i w:val="0"/>
          <w:iCs w:val="0"/>
          <w:color w:val="0E101A"/>
          <w:lang w:val="en-US"/>
        </w:rPr>
        <w:t xml:space="preserve"> I POPULIZAM</w:t>
      </w:r>
      <w:r w:rsidR="00CB68F1">
        <w:rPr>
          <w:rStyle w:val="Emphasis"/>
          <w:b/>
          <w:bCs/>
          <w:i w:val="0"/>
          <w:iCs w:val="0"/>
          <w:color w:val="0E101A"/>
          <w:lang w:val="en-US"/>
        </w:rPr>
        <w:t>:</w:t>
      </w:r>
    </w:p>
    <w:p w14:paraId="5CECA96B" w14:textId="2356C4C5" w:rsidR="00EA0637" w:rsidRPr="00EA0637" w:rsidRDefault="00EA0637" w:rsidP="00EA0637">
      <w:pPr>
        <w:jc w:val="center"/>
        <w:rPr>
          <w:rStyle w:val="Emphasis"/>
          <w:b/>
          <w:bCs/>
          <w:i w:val="0"/>
          <w:iCs w:val="0"/>
          <w:color w:val="0E101A"/>
          <w:lang w:val="en-US"/>
        </w:rPr>
      </w:pPr>
      <w:r w:rsidRPr="00EA0637">
        <w:rPr>
          <w:rStyle w:val="Emphasis"/>
          <w:b/>
          <w:bCs/>
          <w:i w:val="0"/>
          <w:iCs w:val="0"/>
          <w:color w:val="0E101A"/>
          <w:lang w:val="en-US"/>
        </w:rPr>
        <w:t>ODGOVOR TOM</w:t>
      </w:r>
      <w:r w:rsidR="00261AB9">
        <w:rPr>
          <w:rStyle w:val="Emphasis"/>
          <w:b/>
          <w:bCs/>
          <w:i w:val="0"/>
          <w:iCs w:val="0"/>
          <w:color w:val="0E101A"/>
          <w:lang w:val="en-US"/>
        </w:rPr>
        <w:t>U</w:t>
      </w:r>
      <w:r w:rsidRPr="00EA0637">
        <w:rPr>
          <w:rStyle w:val="Emphasis"/>
          <w:b/>
          <w:bCs/>
          <w:i w:val="0"/>
          <w:iCs w:val="0"/>
          <w:color w:val="0E101A"/>
          <w:lang w:val="en-US"/>
        </w:rPr>
        <w:t xml:space="preserve"> GINSB</w:t>
      </w:r>
      <w:r w:rsidR="007E64A8">
        <w:rPr>
          <w:rStyle w:val="Emphasis"/>
          <w:b/>
          <w:bCs/>
          <w:i w:val="0"/>
          <w:iCs w:val="0"/>
          <w:color w:val="0E101A"/>
          <w:lang w:val="en-US"/>
        </w:rPr>
        <w:t>U</w:t>
      </w:r>
      <w:r w:rsidRPr="00EA0637">
        <w:rPr>
          <w:rStyle w:val="Emphasis"/>
          <w:b/>
          <w:bCs/>
          <w:i w:val="0"/>
          <w:iCs w:val="0"/>
          <w:color w:val="0E101A"/>
          <w:lang w:val="en-US"/>
        </w:rPr>
        <w:t>RG</w:t>
      </w:r>
      <w:r w:rsidR="00261AB9">
        <w:rPr>
          <w:rStyle w:val="Emphasis"/>
          <w:b/>
          <w:bCs/>
          <w:i w:val="0"/>
          <w:iCs w:val="0"/>
          <w:color w:val="0E101A"/>
          <w:lang w:val="en-US"/>
        </w:rPr>
        <w:t>U</w:t>
      </w:r>
      <w:r w:rsidRPr="00EA0637">
        <w:rPr>
          <w:rStyle w:val="Emphasis"/>
          <w:b/>
          <w:bCs/>
          <w:i w:val="0"/>
          <w:iCs w:val="0"/>
          <w:color w:val="0E101A"/>
          <w:lang w:val="en-US"/>
        </w:rPr>
        <w:t xml:space="preserve"> I AZIZ</w:t>
      </w:r>
      <w:r w:rsidR="00261AB9">
        <w:rPr>
          <w:rStyle w:val="Emphasis"/>
          <w:b/>
          <w:bCs/>
          <w:i w:val="0"/>
          <w:iCs w:val="0"/>
          <w:color w:val="0E101A"/>
          <w:lang w:val="en-US"/>
        </w:rPr>
        <w:t>U</w:t>
      </w:r>
      <w:r w:rsidRPr="00EA0637">
        <w:rPr>
          <w:rStyle w:val="Emphasis"/>
          <w:b/>
          <w:bCs/>
          <w:i w:val="0"/>
          <w:iCs w:val="0"/>
          <w:color w:val="0E101A"/>
          <w:lang w:val="en-US"/>
        </w:rPr>
        <w:t xml:space="preserve"> H</w:t>
      </w:r>
      <w:r w:rsidR="007E64A8">
        <w:rPr>
          <w:rStyle w:val="Emphasis"/>
          <w:b/>
          <w:bCs/>
          <w:i w:val="0"/>
          <w:iCs w:val="0"/>
          <w:color w:val="0E101A"/>
          <w:lang w:val="en-US"/>
        </w:rPr>
        <w:t>UQU</w:t>
      </w:r>
    </w:p>
    <w:p w14:paraId="196DE91E" w14:textId="5D4181B9" w:rsidR="00EA0637" w:rsidRDefault="00EA0637" w:rsidP="00EA0637">
      <w:pPr>
        <w:jc w:val="both"/>
        <w:rPr>
          <w:rStyle w:val="Emphasis"/>
          <w:color w:val="0E101A"/>
        </w:rPr>
      </w:pPr>
    </w:p>
    <w:p w14:paraId="731F9823" w14:textId="69F7B89E" w:rsidR="00EA0637" w:rsidRDefault="00EA0637" w:rsidP="00EA0637">
      <w:pPr>
        <w:jc w:val="both"/>
        <w:rPr>
          <w:b/>
          <w:bCs/>
          <w:lang w:val="en-US"/>
        </w:rPr>
      </w:pPr>
    </w:p>
    <w:p w14:paraId="5F728227" w14:textId="3822660E" w:rsidR="00EA0637" w:rsidRPr="00732671" w:rsidRDefault="002D11CA" w:rsidP="00EA0637">
      <w:pPr>
        <w:jc w:val="both"/>
        <w:rPr>
          <w:i/>
          <w:iCs/>
          <w:lang w:val="hr-HR"/>
        </w:rPr>
      </w:pPr>
      <w:r w:rsidRPr="00732671">
        <w:rPr>
          <w:i/>
          <w:iCs/>
          <w:lang w:val="hr-HR"/>
        </w:rPr>
        <w:t>Ova</w:t>
      </w:r>
      <w:r w:rsidR="00033986" w:rsidRPr="00732671">
        <w:rPr>
          <w:i/>
          <w:iCs/>
          <w:lang w:val="hr-HR"/>
        </w:rPr>
        <w:t>j</w:t>
      </w:r>
      <w:r w:rsidRPr="00732671">
        <w:rPr>
          <w:i/>
          <w:iCs/>
          <w:lang w:val="hr-HR"/>
        </w:rPr>
        <w:t xml:space="preserve"> krat</w:t>
      </w:r>
      <w:r w:rsidR="00C6559C" w:rsidRPr="00732671">
        <w:rPr>
          <w:i/>
          <w:iCs/>
          <w:lang w:val="hr-HR"/>
        </w:rPr>
        <w:t>ki</w:t>
      </w:r>
      <w:r w:rsidRPr="00732671">
        <w:rPr>
          <w:i/>
          <w:iCs/>
          <w:lang w:val="hr-HR"/>
        </w:rPr>
        <w:t xml:space="preserve"> esej ima </w:t>
      </w:r>
      <w:proofErr w:type="spellStart"/>
      <w:r w:rsidR="00586838">
        <w:rPr>
          <w:i/>
          <w:iCs/>
          <w:lang w:val="hr-HR"/>
        </w:rPr>
        <w:t>slje</w:t>
      </w:r>
      <w:proofErr w:type="spellEnd"/>
      <w:r w:rsidR="00586838">
        <w:rPr>
          <w:i/>
          <w:iCs/>
          <w:lang w:val="sr-Latn-RS"/>
        </w:rPr>
        <w:t xml:space="preserve">deće </w:t>
      </w:r>
      <w:r w:rsidR="00033986" w:rsidRPr="00732671">
        <w:rPr>
          <w:i/>
          <w:iCs/>
          <w:lang w:val="hr-HR"/>
        </w:rPr>
        <w:t xml:space="preserve">ciljeve: prvo, napisan je u čast profesora Josipa </w:t>
      </w:r>
      <w:proofErr w:type="spellStart"/>
      <w:r w:rsidR="00033986" w:rsidRPr="00732671">
        <w:rPr>
          <w:i/>
          <w:iCs/>
          <w:lang w:val="hr-HR"/>
        </w:rPr>
        <w:t>Kregara</w:t>
      </w:r>
      <w:proofErr w:type="spellEnd"/>
      <w:r w:rsidR="00033986" w:rsidRPr="00732671">
        <w:rPr>
          <w:i/>
          <w:iCs/>
          <w:lang w:val="hr-HR"/>
        </w:rPr>
        <w:t xml:space="preserve">, koji je </w:t>
      </w:r>
      <w:r w:rsidR="00C6559C" w:rsidRPr="00732671">
        <w:rPr>
          <w:i/>
          <w:iCs/>
          <w:lang w:val="hr-HR"/>
        </w:rPr>
        <w:t>cijeli</w:t>
      </w:r>
      <w:r w:rsidR="00033986" w:rsidRPr="00732671">
        <w:rPr>
          <w:i/>
          <w:iCs/>
          <w:lang w:val="hr-HR"/>
        </w:rPr>
        <w:t xml:space="preserve"> život bio promotor demokracije, </w:t>
      </w:r>
      <w:r w:rsidR="00C6559C" w:rsidRPr="00732671">
        <w:rPr>
          <w:i/>
          <w:iCs/>
          <w:lang w:val="hr-HR"/>
        </w:rPr>
        <w:t>bilo</w:t>
      </w:r>
      <w:r w:rsidR="00033986" w:rsidRPr="00732671">
        <w:rPr>
          <w:i/>
          <w:iCs/>
          <w:lang w:val="hr-HR"/>
        </w:rPr>
        <w:t xml:space="preserve"> u bivšoj Jugoslaviji</w:t>
      </w:r>
      <w:r w:rsidR="00C6559C" w:rsidRPr="00732671">
        <w:rPr>
          <w:i/>
          <w:iCs/>
          <w:lang w:val="hr-HR"/>
        </w:rPr>
        <w:t xml:space="preserve"> ili </w:t>
      </w:r>
      <w:r w:rsidR="00033986" w:rsidRPr="00732671">
        <w:rPr>
          <w:i/>
          <w:iCs/>
          <w:lang w:val="hr-HR"/>
        </w:rPr>
        <w:t xml:space="preserve">današnjoj Hrvatskoj, što je </w:t>
      </w:r>
      <w:r w:rsidR="00C6559C" w:rsidRPr="00732671">
        <w:rPr>
          <w:i/>
          <w:iCs/>
          <w:lang w:val="hr-HR"/>
        </w:rPr>
        <w:t xml:space="preserve">prilično </w:t>
      </w:r>
      <w:r w:rsidR="00033986" w:rsidRPr="00732671">
        <w:rPr>
          <w:i/>
          <w:iCs/>
          <w:lang w:val="hr-HR"/>
        </w:rPr>
        <w:t>izazov</w:t>
      </w:r>
      <w:r w:rsidR="00C6559C" w:rsidRPr="00732671">
        <w:rPr>
          <w:i/>
          <w:iCs/>
          <w:lang w:val="hr-HR"/>
        </w:rPr>
        <w:t>ni zadatak</w:t>
      </w:r>
      <w:r w:rsidR="00033986" w:rsidRPr="00732671">
        <w:rPr>
          <w:i/>
          <w:iCs/>
          <w:lang w:val="hr-HR"/>
        </w:rPr>
        <w:t xml:space="preserve"> od kojega nikada nije odustao; drugo, u </w:t>
      </w:r>
      <w:r w:rsidR="00C6559C" w:rsidRPr="00732671">
        <w:rPr>
          <w:i/>
          <w:iCs/>
          <w:lang w:val="hr-HR"/>
        </w:rPr>
        <w:t xml:space="preserve">ovom ću </w:t>
      </w:r>
      <w:r w:rsidR="00033986" w:rsidRPr="00732671">
        <w:rPr>
          <w:i/>
          <w:iCs/>
          <w:lang w:val="hr-HR"/>
        </w:rPr>
        <w:t>radu</w:t>
      </w:r>
      <w:r w:rsidR="00C6559C" w:rsidRPr="00732671">
        <w:rPr>
          <w:i/>
          <w:iCs/>
          <w:lang w:val="hr-HR"/>
        </w:rPr>
        <w:t xml:space="preserve"> odgovoriti </w:t>
      </w:r>
      <w:r w:rsidR="00033986" w:rsidRPr="00732671">
        <w:rPr>
          <w:i/>
          <w:iCs/>
          <w:lang w:val="hr-HR"/>
        </w:rPr>
        <w:t>Tom</w:t>
      </w:r>
      <w:r w:rsidR="00C6559C" w:rsidRPr="00732671">
        <w:rPr>
          <w:i/>
          <w:iCs/>
          <w:lang w:val="hr-HR"/>
        </w:rPr>
        <w:t>u</w:t>
      </w:r>
      <w:r w:rsidR="00033986" w:rsidRPr="00732671">
        <w:rPr>
          <w:i/>
          <w:iCs/>
          <w:lang w:val="hr-HR"/>
        </w:rPr>
        <w:t xml:space="preserve"> </w:t>
      </w:r>
      <w:proofErr w:type="spellStart"/>
      <w:r w:rsidR="00C6559C" w:rsidRPr="00732671">
        <w:rPr>
          <w:i/>
          <w:iCs/>
          <w:lang w:val="hr-HR"/>
        </w:rPr>
        <w:t>Ginsburgu</w:t>
      </w:r>
      <w:proofErr w:type="spellEnd"/>
      <w:r w:rsidR="00C6559C" w:rsidRPr="00732671">
        <w:rPr>
          <w:i/>
          <w:iCs/>
          <w:lang w:val="hr-HR"/>
        </w:rPr>
        <w:t xml:space="preserve"> </w:t>
      </w:r>
      <w:r w:rsidR="00033986" w:rsidRPr="00732671">
        <w:rPr>
          <w:i/>
          <w:iCs/>
          <w:lang w:val="hr-HR"/>
        </w:rPr>
        <w:t xml:space="preserve">i Aziza </w:t>
      </w:r>
      <w:proofErr w:type="spellStart"/>
      <w:r w:rsidR="00033986" w:rsidRPr="00732671">
        <w:rPr>
          <w:i/>
          <w:iCs/>
          <w:lang w:val="hr-HR"/>
        </w:rPr>
        <w:t>H</w:t>
      </w:r>
      <w:r w:rsidR="00C6559C" w:rsidRPr="00732671">
        <w:rPr>
          <w:i/>
          <w:iCs/>
          <w:lang w:val="hr-HR"/>
        </w:rPr>
        <w:t>uqu</w:t>
      </w:r>
      <w:proofErr w:type="spellEnd"/>
      <w:r w:rsidR="00C6559C" w:rsidRPr="00732671">
        <w:rPr>
          <w:i/>
          <w:iCs/>
          <w:lang w:val="hr-HR"/>
        </w:rPr>
        <w:t xml:space="preserve">, koji su u svojoj nedavno objavljenoj knjizi </w:t>
      </w:r>
      <w:r w:rsidR="002B5DAF" w:rsidRPr="00732671">
        <w:rPr>
          <w:i/>
          <w:iCs/>
          <w:lang w:val="hr-HR"/>
        </w:rPr>
        <w:t>K</w:t>
      </w:r>
      <w:r w:rsidR="00C6559C" w:rsidRPr="00732671">
        <w:rPr>
          <w:i/>
          <w:iCs/>
          <w:lang w:val="hr-HR"/>
        </w:rPr>
        <w:t xml:space="preserve">ako spasiti ustavnu demokraciju, </w:t>
      </w:r>
      <w:r w:rsidR="00033986" w:rsidRPr="00732671">
        <w:rPr>
          <w:i/>
          <w:iCs/>
          <w:lang w:val="hr-HR"/>
        </w:rPr>
        <w:t>militantn</w:t>
      </w:r>
      <w:r w:rsidR="00C6559C" w:rsidRPr="00732671">
        <w:rPr>
          <w:i/>
          <w:iCs/>
          <w:lang w:val="hr-HR"/>
        </w:rPr>
        <w:t>u</w:t>
      </w:r>
      <w:r w:rsidR="00033986" w:rsidRPr="00732671">
        <w:rPr>
          <w:i/>
          <w:iCs/>
          <w:lang w:val="hr-HR"/>
        </w:rPr>
        <w:t xml:space="preserve"> demokracij</w:t>
      </w:r>
      <w:r w:rsidR="00C6559C" w:rsidRPr="00732671">
        <w:rPr>
          <w:i/>
          <w:iCs/>
          <w:lang w:val="hr-HR"/>
        </w:rPr>
        <w:t>u označili</w:t>
      </w:r>
      <w:r w:rsidR="00033986" w:rsidRPr="00732671">
        <w:rPr>
          <w:i/>
          <w:iCs/>
          <w:lang w:val="hr-HR"/>
        </w:rPr>
        <w:t xml:space="preserve">  opasn</w:t>
      </w:r>
      <w:r w:rsidR="00D30334" w:rsidRPr="00732671">
        <w:rPr>
          <w:i/>
          <w:iCs/>
          <w:lang w:val="hr-HR"/>
        </w:rPr>
        <w:t>im</w:t>
      </w:r>
      <w:r w:rsidR="00033986" w:rsidRPr="00732671">
        <w:rPr>
          <w:i/>
          <w:iCs/>
          <w:lang w:val="hr-HR"/>
        </w:rPr>
        <w:t xml:space="preserve"> </w:t>
      </w:r>
      <w:r w:rsidR="00C6559C" w:rsidRPr="00732671">
        <w:rPr>
          <w:i/>
          <w:iCs/>
          <w:lang w:val="hr-HR"/>
        </w:rPr>
        <w:t>i</w:t>
      </w:r>
      <w:r w:rsidR="00033986" w:rsidRPr="00732671">
        <w:rPr>
          <w:i/>
          <w:iCs/>
          <w:lang w:val="hr-HR"/>
        </w:rPr>
        <w:t xml:space="preserve"> neadekvatn</w:t>
      </w:r>
      <w:r w:rsidR="00D30334" w:rsidRPr="00732671">
        <w:rPr>
          <w:i/>
          <w:iCs/>
          <w:lang w:val="hr-HR"/>
        </w:rPr>
        <w:t>im</w:t>
      </w:r>
      <w:r w:rsidR="00033986" w:rsidRPr="00732671">
        <w:rPr>
          <w:i/>
          <w:iCs/>
          <w:lang w:val="hr-HR"/>
        </w:rPr>
        <w:t xml:space="preserve"> </w:t>
      </w:r>
      <w:r w:rsidR="00D30334" w:rsidRPr="00732671">
        <w:rPr>
          <w:i/>
          <w:iCs/>
          <w:lang w:val="hr-HR"/>
        </w:rPr>
        <w:t>alatom</w:t>
      </w:r>
      <w:r w:rsidR="00033986" w:rsidRPr="00732671">
        <w:rPr>
          <w:i/>
          <w:iCs/>
          <w:lang w:val="hr-HR"/>
        </w:rPr>
        <w:t xml:space="preserve"> za suprotstavljanje sadašnjome fenomenu</w:t>
      </w:r>
      <w:r w:rsidR="000F6F4D">
        <w:rPr>
          <w:i/>
          <w:iCs/>
          <w:lang w:val="hr-HR"/>
        </w:rPr>
        <w:t xml:space="preserve"> demokratskog nazadovanja</w:t>
      </w:r>
      <w:r w:rsidR="00033986" w:rsidRPr="00732671">
        <w:rPr>
          <w:i/>
          <w:iCs/>
          <w:lang w:val="hr-HR"/>
        </w:rPr>
        <w:t xml:space="preserve">. </w:t>
      </w:r>
      <w:r w:rsidR="00DD7B2E">
        <w:rPr>
          <w:i/>
          <w:iCs/>
          <w:lang w:val="hr-HR"/>
        </w:rPr>
        <w:t xml:space="preserve">Rad </w:t>
      </w:r>
      <w:r w:rsidR="00DD7B2E">
        <w:rPr>
          <w:i/>
          <w:iCs/>
          <w:lang w:val="sr-Latn-RS"/>
        </w:rPr>
        <w:t xml:space="preserve">ću započeti </w:t>
      </w:r>
      <w:r w:rsidR="00033986" w:rsidRPr="00732671">
        <w:rPr>
          <w:i/>
          <w:iCs/>
          <w:lang w:val="hr-HR"/>
        </w:rPr>
        <w:t>tvrd</w:t>
      </w:r>
      <w:r w:rsidR="00DD7B2E">
        <w:rPr>
          <w:i/>
          <w:iCs/>
          <w:lang w:val="hr-HR"/>
        </w:rPr>
        <w:t>njom</w:t>
      </w:r>
      <w:r w:rsidR="00033986" w:rsidRPr="00732671">
        <w:rPr>
          <w:i/>
          <w:iCs/>
          <w:lang w:val="hr-HR"/>
        </w:rPr>
        <w:t xml:space="preserve"> da skepticizam autora prema militantnoj demokraciji </w:t>
      </w:r>
      <w:r w:rsidR="00D30334" w:rsidRPr="00732671">
        <w:rPr>
          <w:i/>
          <w:iCs/>
          <w:lang w:val="hr-HR"/>
        </w:rPr>
        <w:t>izvire iz</w:t>
      </w:r>
      <w:r w:rsidR="00033986" w:rsidRPr="00732671">
        <w:rPr>
          <w:i/>
          <w:iCs/>
          <w:lang w:val="hr-HR"/>
        </w:rPr>
        <w:t xml:space="preserve"> pogrešnog poistovjećivanja militantne demokra</w:t>
      </w:r>
      <w:r w:rsidR="00C6559C" w:rsidRPr="00732671">
        <w:rPr>
          <w:i/>
          <w:iCs/>
          <w:lang w:val="hr-HR"/>
        </w:rPr>
        <w:t>cije</w:t>
      </w:r>
      <w:r w:rsidR="00033986" w:rsidRPr="00732671">
        <w:rPr>
          <w:i/>
          <w:iCs/>
          <w:lang w:val="hr-HR"/>
        </w:rPr>
        <w:t xml:space="preserve"> sa drugim konceptima u čijoj je biti također ograničenje</w:t>
      </w:r>
      <w:r w:rsidR="00D30334" w:rsidRPr="00732671">
        <w:rPr>
          <w:i/>
          <w:iCs/>
          <w:lang w:val="hr-HR"/>
        </w:rPr>
        <w:t xml:space="preserve"> individualne</w:t>
      </w:r>
      <w:r w:rsidR="00033986" w:rsidRPr="00732671">
        <w:rPr>
          <w:i/>
          <w:iCs/>
          <w:lang w:val="hr-HR"/>
        </w:rPr>
        <w:t xml:space="preserve"> slobode, a potom ću skicirati argument zašto </w:t>
      </w:r>
      <w:r w:rsidR="00D30334" w:rsidRPr="00732671">
        <w:rPr>
          <w:i/>
          <w:iCs/>
          <w:lang w:val="hr-HR"/>
        </w:rPr>
        <w:t xml:space="preserve">bi </w:t>
      </w:r>
      <w:r w:rsidR="00033986" w:rsidRPr="00732671">
        <w:rPr>
          <w:i/>
          <w:iCs/>
          <w:lang w:val="hr-HR"/>
        </w:rPr>
        <w:t xml:space="preserve">militantna demokracija </w:t>
      </w:r>
      <w:r w:rsidR="00D30334" w:rsidRPr="00732671">
        <w:rPr>
          <w:i/>
          <w:iCs/>
          <w:lang w:val="hr-HR"/>
        </w:rPr>
        <w:t xml:space="preserve">mogla </w:t>
      </w:r>
      <w:r w:rsidR="00033986" w:rsidRPr="00732671">
        <w:rPr>
          <w:i/>
          <w:iCs/>
          <w:lang w:val="hr-HR"/>
        </w:rPr>
        <w:t>pomoći u suprotstavljanju eroziji demokra</w:t>
      </w:r>
      <w:r w:rsidR="00AC35BD" w:rsidRPr="00732671">
        <w:rPr>
          <w:i/>
          <w:iCs/>
          <w:lang w:val="hr-HR"/>
        </w:rPr>
        <w:t>cije</w:t>
      </w:r>
      <w:r w:rsidR="00033986" w:rsidRPr="00732671">
        <w:rPr>
          <w:i/>
          <w:iCs/>
          <w:lang w:val="hr-HR"/>
        </w:rPr>
        <w:t xml:space="preserve">.    </w:t>
      </w:r>
    </w:p>
    <w:p w14:paraId="32A11DD2" w14:textId="2AD9A8E7" w:rsidR="00EA0637" w:rsidRDefault="00EA0637" w:rsidP="00EA0637">
      <w:pPr>
        <w:jc w:val="both"/>
        <w:rPr>
          <w:rStyle w:val="Emphasis"/>
          <w:color w:val="0E101A"/>
        </w:rPr>
      </w:pPr>
    </w:p>
    <w:p w14:paraId="7B31648E" w14:textId="7DEBB44C" w:rsidR="00C6559C" w:rsidRPr="00A803A8" w:rsidRDefault="00A803A8" w:rsidP="00EA0637">
      <w:pPr>
        <w:jc w:val="both"/>
        <w:rPr>
          <w:rStyle w:val="Emphasis"/>
          <w:color w:val="0E101A"/>
          <w:lang w:val="hr-HR"/>
        </w:rPr>
      </w:pPr>
      <w:r w:rsidRPr="00A803A8">
        <w:rPr>
          <w:rStyle w:val="Emphasis"/>
          <w:color w:val="0E101A"/>
          <w:lang w:val="hr-HR"/>
        </w:rPr>
        <w:t>Ključne riječi: militantna demokracija, populizam, demokratsk</w:t>
      </w:r>
      <w:r w:rsidR="000F6F4D">
        <w:rPr>
          <w:rStyle w:val="Emphasis"/>
          <w:color w:val="0E101A"/>
          <w:lang w:val="hr-HR"/>
        </w:rPr>
        <w:t>o nazadovanje,</w:t>
      </w:r>
      <w:r w:rsidRPr="00A803A8">
        <w:rPr>
          <w:rStyle w:val="Emphasis"/>
          <w:color w:val="0E101A"/>
          <w:lang w:val="hr-HR"/>
        </w:rPr>
        <w:t xml:space="preserve"> militantni konstitucionalizam, ekstremizam  </w:t>
      </w:r>
    </w:p>
    <w:p w14:paraId="58E9EFF5" w14:textId="77777777" w:rsidR="00C6559C" w:rsidRPr="00A803A8" w:rsidRDefault="00C6559C" w:rsidP="00EA0637">
      <w:pPr>
        <w:jc w:val="both"/>
        <w:rPr>
          <w:rStyle w:val="Emphasis"/>
          <w:color w:val="0E101A"/>
          <w:lang w:val="hr-HR"/>
        </w:rPr>
      </w:pPr>
    </w:p>
    <w:p w14:paraId="7759695C" w14:textId="77777777" w:rsidR="00EA0637" w:rsidRPr="005C425C" w:rsidRDefault="00EA0637" w:rsidP="005C425C">
      <w:pPr>
        <w:autoSpaceDE w:val="0"/>
        <w:autoSpaceDN w:val="0"/>
        <w:adjustRightInd w:val="0"/>
        <w:spacing w:line="360" w:lineRule="auto"/>
        <w:ind w:firstLine="720"/>
        <w:jc w:val="both"/>
        <w:rPr>
          <w:shd w:val="clear" w:color="auto" w:fill="FFFFFF"/>
          <w:lang w:val="en-US"/>
        </w:rPr>
      </w:pPr>
    </w:p>
    <w:sectPr w:rsidR="00EA0637" w:rsidRPr="005C425C" w:rsidSect="005059C2">
      <w:headerReference w:type="even" r:id="rId7"/>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77D4" w14:textId="77777777" w:rsidR="00285421" w:rsidRDefault="00285421" w:rsidP="00804A95">
      <w:r>
        <w:separator/>
      </w:r>
    </w:p>
  </w:endnote>
  <w:endnote w:type="continuationSeparator" w:id="0">
    <w:p w14:paraId="79BA5B42" w14:textId="77777777" w:rsidR="00285421" w:rsidRDefault="00285421" w:rsidP="0080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tone Serif ITC">
    <w:altName w:val="Stone Serif ITC"/>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F504" w14:textId="77777777" w:rsidR="00285421" w:rsidRDefault="00285421" w:rsidP="00804A95">
      <w:r>
        <w:separator/>
      </w:r>
    </w:p>
  </w:footnote>
  <w:footnote w:type="continuationSeparator" w:id="0">
    <w:p w14:paraId="5198DDE9" w14:textId="77777777" w:rsidR="00285421" w:rsidRDefault="00285421" w:rsidP="00804A95">
      <w:r>
        <w:continuationSeparator/>
      </w:r>
    </w:p>
  </w:footnote>
  <w:footnote w:id="1">
    <w:p w14:paraId="233D9D4F" w14:textId="77777777" w:rsidR="00213C9F" w:rsidRDefault="00213C9F" w:rsidP="00213C9F">
      <w:pPr>
        <w:pStyle w:val="FootnoteText"/>
        <w:jc w:val="both"/>
      </w:pPr>
      <w:r>
        <w:t xml:space="preserve">* </w:t>
      </w:r>
      <w:r w:rsidRPr="001B1DFE">
        <w:t>Professor of Law, Union University Law School Belgrade</w:t>
      </w:r>
      <w:r>
        <w:t xml:space="preserve">; </w:t>
      </w:r>
      <w:r w:rsidRPr="001B1DFE">
        <w:rPr>
          <w:i/>
          <w:iCs/>
        </w:rPr>
        <w:t>S.J.D.</w:t>
      </w:r>
      <w:r w:rsidRPr="001B1DFE">
        <w:t xml:space="preserve"> Central European University</w:t>
      </w:r>
      <w:r>
        <w:t>;</w:t>
      </w:r>
      <w:r w:rsidRPr="001B1DFE">
        <w:t xml:space="preserve"> besirevv@ceu.edu</w:t>
      </w:r>
      <w:r>
        <w:t>;</w:t>
      </w:r>
      <w:r w:rsidRPr="001B1DFE">
        <w:t xml:space="preserve"> violeta.besirevic@pravnifakultet.rs</w:t>
      </w:r>
      <w:r>
        <w:t>;</w:t>
      </w:r>
    </w:p>
    <w:p w14:paraId="0DC8A071" w14:textId="77777777" w:rsidR="00213C9F" w:rsidRPr="00D25B9D" w:rsidRDefault="00213C9F" w:rsidP="00213C9F">
      <w:pPr>
        <w:rPr>
          <w:sz w:val="20"/>
          <w:szCs w:val="20"/>
          <w:lang w:val="hr-HR"/>
        </w:rPr>
      </w:pPr>
      <w:r w:rsidRPr="006F08DA">
        <w:rPr>
          <w:sz w:val="20"/>
          <w:szCs w:val="20"/>
          <w:lang w:val="hr-HR"/>
        </w:rPr>
        <w:t xml:space="preserve">ORCID ID:  </w:t>
      </w:r>
      <w:r w:rsidRPr="006F08DA">
        <w:rPr>
          <w:sz w:val="20"/>
          <w:szCs w:val="20"/>
          <w:shd w:val="clear" w:color="auto" w:fill="FFFFFF"/>
          <w:lang w:val="hr-HR"/>
        </w:rPr>
        <w:t>orcid.org/0000-0001-9452-5630</w:t>
      </w:r>
      <w:r w:rsidRPr="001B1DFE">
        <w:t xml:space="preserve"> </w:t>
      </w:r>
    </w:p>
  </w:footnote>
  <w:footnote w:id="2">
    <w:p w14:paraId="71EEB052" w14:textId="6946FFF5" w:rsidR="003B6CC9" w:rsidRPr="00A73B07" w:rsidRDefault="003B6CC9" w:rsidP="009E1534">
      <w:pPr>
        <w:autoSpaceDE w:val="0"/>
        <w:autoSpaceDN w:val="0"/>
        <w:adjustRightInd w:val="0"/>
        <w:jc w:val="both"/>
        <w:rPr>
          <w:sz w:val="20"/>
          <w:szCs w:val="20"/>
          <w:lang w:val="en-US"/>
        </w:rPr>
      </w:pPr>
      <w:r w:rsidRPr="00A73B07">
        <w:rPr>
          <w:rStyle w:val="FootnoteReference"/>
          <w:sz w:val="20"/>
          <w:szCs w:val="20"/>
          <w:lang w:val="en-US"/>
        </w:rPr>
        <w:footnoteRef/>
      </w:r>
      <w:r w:rsidRPr="00A73B07">
        <w:rPr>
          <w:sz w:val="20"/>
          <w:szCs w:val="20"/>
          <w:lang w:val="en-US"/>
        </w:rPr>
        <w:t xml:space="preserve"> For </w:t>
      </w:r>
      <w:r w:rsidR="009E1534" w:rsidRPr="00A73B07">
        <w:rPr>
          <w:sz w:val="20"/>
          <w:szCs w:val="20"/>
          <w:lang w:val="en-US"/>
        </w:rPr>
        <w:t>a de</w:t>
      </w:r>
      <w:r w:rsidR="001B1DFE" w:rsidRPr="00A73B07">
        <w:rPr>
          <w:sz w:val="20"/>
          <w:szCs w:val="20"/>
          <w:lang w:val="en-US"/>
        </w:rPr>
        <w:t>tail</w:t>
      </w:r>
      <w:r w:rsidR="00D103DB" w:rsidRPr="00A73B07">
        <w:rPr>
          <w:sz w:val="20"/>
          <w:szCs w:val="20"/>
          <w:lang w:val="en-US"/>
        </w:rPr>
        <w:t>ed</w:t>
      </w:r>
      <w:r w:rsidR="009E1534" w:rsidRPr="00A73B07">
        <w:rPr>
          <w:sz w:val="20"/>
          <w:szCs w:val="20"/>
          <w:lang w:val="en-US"/>
        </w:rPr>
        <w:t xml:space="preserve"> </w:t>
      </w:r>
      <w:r w:rsidRPr="00A73B07">
        <w:rPr>
          <w:sz w:val="20"/>
          <w:szCs w:val="20"/>
          <w:lang w:val="en-US"/>
        </w:rPr>
        <w:t xml:space="preserve">discussion see, </w:t>
      </w:r>
      <w:r w:rsidRPr="00A73B07">
        <w:rPr>
          <w:i/>
          <w:iCs/>
          <w:sz w:val="20"/>
          <w:szCs w:val="20"/>
          <w:lang w:val="en-US"/>
        </w:rPr>
        <w:t>e.g.</w:t>
      </w:r>
      <w:r w:rsidRPr="00A73B07">
        <w:rPr>
          <w:sz w:val="20"/>
          <w:szCs w:val="20"/>
          <w:lang w:val="en-US"/>
        </w:rPr>
        <w:t xml:space="preserve"> </w:t>
      </w:r>
      <w:r w:rsidR="007D7B76" w:rsidRPr="00A73B07">
        <w:rPr>
          <w:sz w:val="20"/>
          <w:szCs w:val="20"/>
          <w:lang w:val="en-US"/>
        </w:rPr>
        <w:t>Malkopoulou</w:t>
      </w:r>
      <w:r w:rsidR="001B1DFE" w:rsidRPr="00A73B07">
        <w:rPr>
          <w:sz w:val="20"/>
          <w:szCs w:val="20"/>
          <w:lang w:val="en-US"/>
        </w:rPr>
        <w:t>, A.;</w:t>
      </w:r>
      <w:r w:rsidR="007D7B76" w:rsidRPr="00A73B07">
        <w:rPr>
          <w:sz w:val="20"/>
          <w:szCs w:val="20"/>
          <w:lang w:val="en-US"/>
        </w:rPr>
        <w:t xml:space="preserve"> Kirshner, </w:t>
      </w:r>
      <w:r w:rsidR="001B1DFE" w:rsidRPr="00A73B07">
        <w:rPr>
          <w:sz w:val="20"/>
          <w:szCs w:val="20"/>
          <w:lang w:val="en-US"/>
        </w:rPr>
        <w:t>A.</w:t>
      </w:r>
      <w:r w:rsidR="00A72BC1" w:rsidRPr="00A73B07">
        <w:rPr>
          <w:sz w:val="20"/>
          <w:szCs w:val="20"/>
          <w:lang w:val="en-US"/>
        </w:rPr>
        <w:t>,</w:t>
      </w:r>
      <w:r w:rsidR="001B1DFE" w:rsidRPr="00A73B07">
        <w:rPr>
          <w:sz w:val="20"/>
          <w:szCs w:val="20"/>
          <w:lang w:val="en-US"/>
        </w:rPr>
        <w:t xml:space="preserve"> </w:t>
      </w:r>
      <w:r w:rsidR="007D7B76" w:rsidRPr="00A73B07">
        <w:rPr>
          <w:i/>
          <w:iCs/>
          <w:sz w:val="20"/>
          <w:szCs w:val="20"/>
          <w:lang w:val="en-US"/>
        </w:rPr>
        <w:t>Militant Democracy and Its Critics:</w:t>
      </w:r>
      <w:r w:rsidR="00CF2E28" w:rsidRPr="00A73B07">
        <w:rPr>
          <w:i/>
          <w:iCs/>
          <w:sz w:val="20"/>
          <w:szCs w:val="20"/>
          <w:lang w:val="en-US"/>
        </w:rPr>
        <w:t xml:space="preserve"> </w:t>
      </w:r>
      <w:r w:rsidR="007D7B76" w:rsidRPr="00A73B07">
        <w:rPr>
          <w:i/>
          <w:iCs/>
          <w:sz w:val="20"/>
          <w:szCs w:val="20"/>
          <w:lang w:val="en-US"/>
        </w:rPr>
        <w:t>Populism,</w:t>
      </w:r>
      <w:r w:rsidR="00CF2E28" w:rsidRPr="00A73B07">
        <w:rPr>
          <w:i/>
          <w:iCs/>
          <w:sz w:val="20"/>
          <w:szCs w:val="20"/>
          <w:lang w:val="en-US"/>
        </w:rPr>
        <w:t xml:space="preserve"> </w:t>
      </w:r>
      <w:r w:rsidR="007D7B76" w:rsidRPr="00A73B07">
        <w:rPr>
          <w:i/>
          <w:iCs/>
          <w:sz w:val="20"/>
          <w:szCs w:val="20"/>
          <w:lang w:val="en-US"/>
        </w:rPr>
        <w:t>Parties, Extremism</w:t>
      </w:r>
      <w:r w:rsidR="007D7B76" w:rsidRPr="00A73B07">
        <w:rPr>
          <w:sz w:val="20"/>
          <w:szCs w:val="20"/>
          <w:lang w:val="en-US"/>
        </w:rPr>
        <w:t>,</w:t>
      </w:r>
      <w:r w:rsidR="00CF2E28" w:rsidRPr="00A73B07">
        <w:rPr>
          <w:sz w:val="20"/>
          <w:szCs w:val="20"/>
          <w:lang w:val="en-US"/>
        </w:rPr>
        <w:t xml:space="preserve"> </w:t>
      </w:r>
      <w:r w:rsidR="007D7B76" w:rsidRPr="00A73B07">
        <w:rPr>
          <w:sz w:val="20"/>
          <w:szCs w:val="20"/>
          <w:lang w:val="en-US"/>
        </w:rPr>
        <w:t>Edinburgh University Press,</w:t>
      </w:r>
      <w:r w:rsidR="00A72BC1" w:rsidRPr="00A73B07">
        <w:rPr>
          <w:sz w:val="20"/>
          <w:szCs w:val="20"/>
          <w:lang w:val="en-US"/>
        </w:rPr>
        <w:t>Edinburgh,</w:t>
      </w:r>
      <w:r w:rsidR="007D7B76" w:rsidRPr="00A73B07">
        <w:rPr>
          <w:sz w:val="20"/>
          <w:szCs w:val="20"/>
          <w:lang w:val="en-US"/>
        </w:rPr>
        <w:t xml:space="preserve">2019; </w:t>
      </w:r>
      <w:r w:rsidR="007D7B76" w:rsidRPr="00A73B07">
        <w:rPr>
          <w:rFonts w:cs="Stone Serif ITC"/>
          <w:color w:val="000000"/>
          <w:sz w:val="20"/>
          <w:szCs w:val="20"/>
          <w:lang w:val="en-US"/>
        </w:rPr>
        <w:t>Malkopoulou, A.</w:t>
      </w:r>
      <w:r w:rsidR="00A72BC1" w:rsidRPr="00A73B07">
        <w:rPr>
          <w:rFonts w:cs="Stone Serif ITC"/>
          <w:color w:val="000000"/>
          <w:sz w:val="20"/>
          <w:szCs w:val="20"/>
          <w:lang w:val="en-US"/>
        </w:rPr>
        <w:t>;</w:t>
      </w:r>
      <w:r w:rsidR="007D7B76" w:rsidRPr="00A73B07">
        <w:rPr>
          <w:rFonts w:cs="Stone Serif ITC"/>
          <w:color w:val="000000"/>
          <w:sz w:val="20"/>
          <w:szCs w:val="20"/>
          <w:lang w:val="en-US"/>
        </w:rPr>
        <w:t xml:space="preserve"> Norman, L.</w:t>
      </w:r>
      <w:r w:rsidR="00A72BC1" w:rsidRPr="00A73B07">
        <w:rPr>
          <w:rFonts w:cs="Stone Serif ITC"/>
          <w:color w:val="000000"/>
          <w:sz w:val="20"/>
          <w:szCs w:val="20"/>
          <w:lang w:val="en-US"/>
        </w:rPr>
        <w:t>,</w:t>
      </w:r>
      <w:r w:rsidR="007D7B76" w:rsidRPr="00A73B07">
        <w:rPr>
          <w:rFonts w:cs="Stone Serif ITC"/>
          <w:color w:val="000000"/>
          <w:sz w:val="20"/>
          <w:szCs w:val="20"/>
          <w:lang w:val="en-US"/>
        </w:rPr>
        <w:t xml:space="preserve"> </w:t>
      </w:r>
      <w:r w:rsidR="007D7B76" w:rsidRPr="00A73B07">
        <w:rPr>
          <w:rFonts w:cs="Stone Serif ITC"/>
          <w:i/>
          <w:iCs/>
          <w:color w:val="000000"/>
          <w:sz w:val="20"/>
          <w:szCs w:val="20"/>
          <w:lang w:val="en-US"/>
        </w:rPr>
        <w:t xml:space="preserve">Three </w:t>
      </w:r>
      <w:r w:rsidR="00A72BC1" w:rsidRPr="00A73B07">
        <w:rPr>
          <w:rFonts w:cs="Stone Serif ITC"/>
          <w:i/>
          <w:iCs/>
          <w:color w:val="000000"/>
          <w:sz w:val="20"/>
          <w:szCs w:val="20"/>
          <w:lang w:val="en-US"/>
        </w:rPr>
        <w:t>M</w:t>
      </w:r>
      <w:r w:rsidR="007D7B76" w:rsidRPr="00A73B07">
        <w:rPr>
          <w:rFonts w:cs="Stone Serif ITC"/>
          <w:i/>
          <w:iCs/>
          <w:color w:val="000000"/>
          <w:sz w:val="20"/>
          <w:szCs w:val="20"/>
          <w:lang w:val="en-US"/>
        </w:rPr>
        <w:t xml:space="preserve">odels of </w:t>
      </w:r>
      <w:r w:rsidR="00A72BC1" w:rsidRPr="00A73B07">
        <w:rPr>
          <w:rFonts w:cs="Stone Serif ITC"/>
          <w:i/>
          <w:iCs/>
          <w:color w:val="000000"/>
          <w:sz w:val="20"/>
          <w:szCs w:val="20"/>
          <w:lang w:val="en-US"/>
        </w:rPr>
        <w:t>D</w:t>
      </w:r>
      <w:r w:rsidR="007D7B76" w:rsidRPr="00A73B07">
        <w:rPr>
          <w:rFonts w:cs="Stone Serif ITC"/>
          <w:i/>
          <w:iCs/>
          <w:color w:val="000000"/>
          <w:sz w:val="20"/>
          <w:szCs w:val="20"/>
          <w:lang w:val="en-US"/>
        </w:rPr>
        <w:t xml:space="preserve">emocratic </w:t>
      </w:r>
      <w:r w:rsidR="00A72BC1" w:rsidRPr="00A73B07">
        <w:rPr>
          <w:rFonts w:cs="Stone Serif ITC"/>
          <w:i/>
          <w:iCs/>
          <w:color w:val="000000"/>
          <w:sz w:val="20"/>
          <w:szCs w:val="20"/>
          <w:lang w:val="en-US"/>
        </w:rPr>
        <w:t>Self-Defense</w:t>
      </w:r>
      <w:r w:rsidR="007D7B76" w:rsidRPr="00A73B07">
        <w:rPr>
          <w:rFonts w:cs="Stone Serif ITC"/>
          <w:i/>
          <w:iCs/>
          <w:color w:val="000000"/>
          <w:sz w:val="20"/>
          <w:szCs w:val="20"/>
          <w:lang w:val="en-US"/>
        </w:rPr>
        <w:t xml:space="preserve">: </w:t>
      </w:r>
      <w:r w:rsidR="00A72BC1" w:rsidRPr="00A73B07">
        <w:rPr>
          <w:rFonts w:cs="Stone Serif ITC"/>
          <w:i/>
          <w:iCs/>
          <w:color w:val="000000"/>
          <w:sz w:val="20"/>
          <w:szCs w:val="20"/>
          <w:lang w:val="en-US"/>
        </w:rPr>
        <w:t>M</w:t>
      </w:r>
      <w:r w:rsidR="007D7B76" w:rsidRPr="00A73B07">
        <w:rPr>
          <w:rFonts w:cs="Stone Serif ITC"/>
          <w:i/>
          <w:iCs/>
          <w:color w:val="000000"/>
          <w:sz w:val="20"/>
          <w:szCs w:val="20"/>
          <w:lang w:val="en-US"/>
        </w:rPr>
        <w:t xml:space="preserve">ilitant </w:t>
      </w:r>
      <w:r w:rsidR="00A72BC1" w:rsidRPr="00A73B07">
        <w:rPr>
          <w:rFonts w:cs="Stone Serif ITC"/>
          <w:i/>
          <w:iCs/>
          <w:color w:val="000000"/>
          <w:sz w:val="20"/>
          <w:szCs w:val="20"/>
          <w:lang w:val="en-US"/>
        </w:rPr>
        <w:t>D</w:t>
      </w:r>
      <w:r w:rsidR="007D7B76" w:rsidRPr="00A73B07">
        <w:rPr>
          <w:rFonts w:cs="Stone Serif ITC"/>
          <w:i/>
          <w:iCs/>
          <w:color w:val="000000"/>
          <w:sz w:val="20"/>
          <w:szCs w:val="20"/>
          <w:lang w:val="en-US"/>
        </w:rPr>
        <w:t xml:space="preserve">emocracy and its </w:t>
      </w:r>
      <w:r w:rsidR="00A72BC1" w:rsidRPr="00A73B07">
        <w:rPr>
          <w:rFonts w:cs="Stone Serif ITC"/>
          <w:i/>
          <w:iCs/>
          <w:color w:val="000000"/>
          <w:sz w:val="20"/>
          <w:szCs w:val="20"/>
          <w:lang w:val="en-US"/>
        </w:rPr>
        <w:t>A</w:t>
      </w:r>
      <w:r w:rsidR="007D7B76" w:rsidRPr="00A73B07">
        <w:rPr>
          <w:rFonts w:cs="Stone Serif ITC"/>
          <w:i/>
          <w:iCs/>
          <w:color w:val="000000"/>
          <w:sz w:val="20"/>
          <w:szCs w:val="20"/>
          <w:lang w:val="en-US"/>
        </w:rPr>
        <w:t>lternatives</w:t>
      </w:r>
      <w:r w:rsidR="00A72BC1" w:rsidRPr="00A73B07">
        <w:rPr>
          <w:rFonts w:cs="Stone Serif ITC"/>
          <w:color w:val="000000"/>
          <w:sz w:val="20"/>
          <w:szCs w:val="20"/>
          <w:lang w:val="en-US"/>
        </w:rPr>
        <w:t xml:space="preserve">, </w:t>
      </w:r>
      <w:r w:rsidR="007D7B76" w:rsidRPr="00A73B07">
        <w:rPr>
          <w:rFonts w:cs="Stone Serif ITC"/>
          <w:color w:val="000000"/>
          <w:sz w:val="20"/>
          <w:szCs w:val="20"/>
          <w:lang w:val="en-US"/>
        </w:rPr>
        <w:t>Political Studies</w:t>
      </w:r>
      <w:r w:rsidR="00A72BC1" w:rsidRPr="00A73B07">
        <w:rPr>
          <w:rFonts w:cs="Stone Serif ITC"/>
          <w:color w:val="000000"/>
          <w:sz w:val="20"/>
          <w:szCs w:val="20"/>
          <w:lang w:val="en-US"/>
        </w:rPr>
        <w:t>, vol.</w:t>
      </w:r>
      <w:r w:rsidR="007D7B76" w:rsidRPr="00A73B07">
        <w:rPr>
          <w:rFonts w:cs="Stone Serif ITC"/>
          <w:color w:val="000000"/>
          <w:sz w:val="20"/>
          <w:szCs w:val="20"/>
          <w:lang w:val="en-US"/>
        </w:rPr>
        <w:t>66</w:t>
      </w:r>
      <w:r w:rsidR="00A72BC1" w:rsidRPr="00A73B07">
        <w:rPr>
          <w:rFonts w:cs="Stone Serif ITC"/>
          <w:color w:val="000000"/>
          <w:sz w:val="20"/>
          <w:szCs w:val="20"/>
          <w:lang w:val="en-US"/>
        </w:rPr>
        <w:t>, no.</w:t>
      </w:r>
      <w:r w:rsidR="007D7B76" w:rsidRPr="00A73B07">
        <w:rPr>
          <w:rFonts w:cs="Stone Serif ITC"/>
          <w:color w:val="000000"/>
          <w:sz w:val="20"/>
          <w:szCs w:val="20"/>
          <w:lang w:val="en-US"/>
        </w:rPr>
        <w:t>2</w:t>
      </w:r>
      <w:r w:rsidR="00A72BC1" w:rsidRPr="00A73B07">
        <w:rPr>
          <w:rFonts w:cs="Stone Serif ITC"/>
          <w:color w:val="000000"/>
          <w:sz w:val="20"/>
          <w:szCs w:val="20"/>
          <w:lang w:val="en-US"/>
        </w:rPr>
        <w:t>,</w:t>
      </w:r>
      <w:r w:rsidR="007D7B76" w:rsidRPr="00A73B07">
        <w:rPr>
          <w:rFonts w:cs="Stone Serif ITC"/>
          <w:color w:val="000000"/>
          <w:sz w:val="20"/>
          <w:szCs w:val="20"/>
          <w:lang w:val="en-US"/>
        </w:rPr>
        <w:t xml:space="preserve"> </w:t>
      </w:r>
      <w:r w:rsidR="00A72BC1" w:rsidRPr="00A73B07">
        <w:rPr>
          <w:rFonts w:cs="Stone Serif ITC"/>
          <w:color w:val="000000"/>
          <w:sz w:val="20"/>
          <w:szCs w:val="20"/>
          <w:lang w:val="en-US"/>
        </w:rPr>
        <w:t>2018, pp.</w:t>
      </w:r>
      <w:r w:rsidR="007D7B76" w:rsidRPr="00A73B07">
        <w:rPr>
          <w:rFonts w:cs="Stone Serif ITC"/>
          <w:color w:val="000000"/>
          <w:sz w:val="20"/>
          <w:szCs w:val="20"/>
          <w:lang w:val="en-US"/>
        </w:rPr>
        <w:t xml:space="preserve">442–458; </w:t>
      </w:r>
      <w:r w:rsidR="007D7B76" w:rsidRPr="00A73B07">
        <w:rPr>
          <w:sz w:val="20"/>
          <w:szCs w:val="20"/>
          <w:lang w:val="en-US"/>
        </w:rPr>
        <w:t>Markus</w:t>
      </w:r>
      <w:r w:rsidR="00A72BC1" w:rsidRPr="00A73B07">
        <w:rPr>
          <w:sz w:val="20"/>
          <w:szCs w:val="20"/>
          <w:lang w:val="en-US"/>
        </w:rPr>
        <w:t xml:space="preserve">, T., </w:t>
      </w:r>
      <w:r w:rsidR="007D7B76" w:rsidRPr="00A73B07">
        <w:rPr>
          <w:sz w:val="20"/>
          <w:szCs w:val="20"/>
          <w:lang w:val="en-US"/>
        </w:rPr>
        <w:t xml:space="preserve">(ed.), </w:t>
      </w:r>
      <w:r w:rsidR="007D7B76" w:rsidRPr="00A73B07">
        <w:rPr>
          <w:i/>
          <w:iCs/>
          <w:sz w:val="20"/>
          <w:szCs w:val="20"/>
          <w:lang w:val="en-US"/>
        </w:rPr>
        <w:t xml:space="preserve">The </w:t>
      </w:r>
      <w:r w:rsidR="003751FD" w:rsidRPr="00A73B07">
        <w:rPr>
          <w:i/>
          <w:iCs/>
          <w:sz w:val="20"/>
          <w:szCs w:val="20"/>
          <w:lang w:val="en-US"/>
        </w:rPr>
        <w:t>‘</w:t>
      </w:r>
      <w:r w:rsidR="007D7B76" w:rsidRPr="00A73B07">
        <w:rPr>
          <w:i/>
          <w:iCs/>
          <w:sz w:val="20"/>
          <w:szCs w:val="20"/>
          <w:lang w:val="en-US"/>
        </w:rPr>
        <w:t>Militant Democracy</w:t>
      </w:r>
      <w:r w:rsidR="003751FD" w:rsidRPr="00A73B07">
        <w:rPr>
          <w:i/>
          <w:iCs/>
          <w:sz w:val="20"/>
          <w:szCs w:val="20"/>
          <w:lang w:val="en-US"/>
        </w:rPr>
        <w:t>’</w:t>
      </w:r>
      <w:r w:rsidR="007D7B76" w:rsidRPr="00A73B07">
        <w:rPr>
          <w:i/>
          <w:iCs/>
          <w:sz w:val="20"/>
          <w:szCs w:val="20"/>
          <w:lang w:val="en-US"/>
        </w:rPr>
        <w:t xml:space="preserve"> Principle in Modern Democracies</w:t>
      </w:r>
      <w:r w:rsidR="007D7B76" w:rsidRPr="00A73B07">
        <w:rPr>
          <w:sz w:val="20"/>
          <w:szCs w:val="20"/>
          <w:lang w:val="en-US"/>
        </w:rPr>
        <w:t>,</w:t>
      </w:r>
      <w:r w:rsidR="00CF2E28" w:rsidRPr="00A73B07">
        <w:rPr>
          <w:sz w:val="20"/>
          <w:szCs w:val="20"/>
          <w:lang w:val="en-US"/>
        </w:rPr>
        <w:t xml:space="preserve"> </w:t>
      </w:r>
      <w:r w:rsidR="007D7B76" w:rsidRPr="00A73B07">
        <w:rPr>
          <w:sz w:val="20"/>
          <w:szCs w:val="20"/>
          <w:lang w:val="en-US"/>
        </w:rPr>
        <w:t>Ashgate Publishing Limited, Farnham</w:t>
      </w:r>
      <w:r w:rsidR="003751FD" w:rsidRPr="00A73B07">
        <w:rPr>
          <w:sz w:val="20"/>
          <w:szCs w:val="20"/>
          <w:lang w:val="en-US"/>
        </w:rPr>
        <w:t xml:space="preserve">, </w:t>
      </w:r>
      <w:r w:rsidR="007D7B76" w:rsidRPr="00A73B07">
        <w:rPr>
          <w:sz w:val="20"/>
          <w:szCs w:val="20"/>
          <w:lang w:val="en-US"/>
        </w:rPr>
        <w:t>Burlington,2009;</w:t>
      </w:r>
      <w:r w:rsidR="007D7B76" w:rsidRPr="00A73B07">
        <w:rPr>
          <w:rFonts w:cs="Stone Serif ITC"/>
          <w:color w:val="000000"/>
          <w:sz w:val="20"/>
          <w:szCs w:val="20"/>
          <w:lang w:val="en-US"/>
        </w:rPr>
        <w:t>Sajó</w:t>
      </w:r>
      <w:r w:rsidR="003751FD" w:rsidRPr="00A73B07">
        <w:rPr>
          <w:rFonts w:cs="Stone Serif ITC"/>
          <w:color w:val="000000"/>
          <w:sz w:val="20"/>
          <w:szCs w:val="20"/>
          <w:lang w:val="en-US"/>
        </w:rPr>
        <w:t>,A.</w:t>
      </w:r>
      <w:r w:rsidR="007D7B76" w:rsidRPr="00A73B07">
        <w:rPr>
          <w:rFonts w:cs="Stone Serif ITC"/>
          <w:color w:val="000000"/>
          <w:sz w:val="20"/>
          <w:szCs w:val="20"/>
          <w:lang w:val="en-US"/>
        </w:rPr>
        <w:t>(ed.),</w:t>
      </w:r>
      <w:r w:rsidR="007D7B76" w:rsidRPr="00A73B07">
        <w:rPr>
          <w:rFonts w:cs="Stone Serif ITC"/>
          <w:i/>
          <w:iCs/>
          <w:color w:val="000000"/>
          <w:sz w:val="20"/>
          <w:szCs w:val="20"/>
          <w:lang w:val="en-US"/>
        </w:rPr>
        <w:t>Militant Democracy</w:t>
      </w:r>
      <w:r w:rsidR="007D7B76" w:rsidRPr="00A73B07">
        <w:rPr>
          <w:rFonts w:cs="Stone Serif ITC"/>
          <w:color w:val="000000"/>
          <w:sz w:val="20"/>
          <w:szCs w:val="20"/>
          <w:lang w:val="en-US"/>
        </w:rPr>
        <w:t>, Eleven International Publishing, Utrecht, 2004;</w:t>
      </w:r>
      <w:r w:rsidR="007D7B76" w:rsidRPr="00A73B07">
        <w:rPr>
          <w:sz w:val="20"/>
          <w:szCs w:val="20"/>
          <w:lang w:val="en-US"/>
        </w:rPr>
        <w:t xml:space="preserve"> </w:t>
      </w:r>
      <w:proofErr w:type="spellStart"/>
      <w:r w:rsidRPr="00A73B07">
        <w:rPr>
          <w:sz w:val="20"/>
          <w:szCs w:val="20"/>
          <w:lang w:val="en-US"/>
        </w:rPr>
        <w:t>Invernizzi</w:t>
      </w:r>
      <w:proofErr w:type="spellEnd"/>
      <w:r w:rsidRPr="00A73B07">
        <w:rPr>
          <w:sz w:val="20"/>
          <w:szCs w:val="20"/>
          <w:lang w:val="en-US"/>
        </w:rPr>
        <w:t xml:space="preserve"> </w:t>
      </w:r>
      <w:proofErr w:type="spellStart"/>
      <w:r w:rsidRPr="00A73B07">
        <w:rPr>
          <w:sz w:val="20"/>
          <w:szCs w:val="20"/>
          <w:lang w:val="en-US"/>
        </w:rPr>
        <w:t>Accetti</w:t>
      </w:r>
      <w:proofErr w:type="spellEnd"/>
      <w:r w:rsidR="003751FD" w:rsidRPr="00A73B07">
        <w:rPr>
          <w:sz w:val="20"/>
          <w:szCs w:val="20"/>
          <w:lang w:val="en-US"/>
        </w:rPr>
        <w:t>, C.;</w:t>
      </w:r>
      <w:r w:rsidRPr="00A73B07">
        <w:rPr>
          <w:sz w:val="20"/>
          <w:szCs w:val="20"/>
          <w:lang w:val="en-US"/>
        </w:rPr>
        <w:t xml:space="preserve"> </w:t>
      </w:r>
      <w:proofErr w:type="spellStart"/>
      <w:r w:rsidRPr="00A73B07">
        <w:rPr>
          <w:sz w:val="20"/>
          <w:szCs w:val="20"/>
          <w:lang w:val="en-US"/>
        </w:rPr>
        <w:t>Zuckerman,</w:t>
      </w:r>
      <w:r w:rsidR="003751FD" w:rsidRPr="00A73B07">
        <w:rPr>
          <w:sz w:val="20"/>
          <w:szCs w:val="20"/>
          <w:lang w:val="en-US"/>
        </w:rPr>
        <w:t>I</w:t>
      </w:r>
      <w:proofErr w:type="spellEnd"/>
      <w:r w:rsidR="003751FD" w:rsidRPr="00A73B07">
        <w:rPr>
          <w:sz w:val="20"/>
          <w:szCs w:val="20"/>
          <w:lang w:val="en-US"/>
        </w:rPr>
        <w:t>.,</w:t>
      </w:r>
      <w:r w:rsidRPr="00A73B07">
        <w:rPr>
          <w:sz w:val="20"/>
          <w:szCs w:val="20"/>
          <w:lang w:val="en-US"/>
        </w:rPr>
        <w:t xml:space="preserve"> </w:t>
      </w:r>
      <w:r w:rsidRPr="00A73B07">
        <w:rPr>
          <w:i/>
          <w:iCs/>
          <w:sz w:val="20"/>
          <w:szCs w:val="20"/>
          <w:lang w:val="en-US"/>
        </w:rPr>
        <w:t>What’s Wrong with Militant Democracy?</w:t>
      </w:r>
      <w:r w:rsidRPr="00A73B07">
        <w:rPr>
          <w:sz w:val="20"/>
          <w:szCs w:val="20"/>
          <w:lang w:val="en-US"/>
        </w:rPr>
        <w:t>,</w:t>
      </w:r>
      <w:r w:rsidR="004A4AD0">
        <w:rPr>
          <w:sz w:val="20"/>
          <w:szCs w:val="20"/>
          <w:lang w:val="en-US"/>
        </w:rPr>
        <w:t xml:space="preserve"> </w:t>
      </w:r>
      <w:r w:rsidRPr="00A73B07">
        <w:rPr>
          <w:sz w:val="20"/>
          <w:szCs w:val="20"/>
          <w:lang w:val="en-US"/>
        </w:rPr>
        <w:t>Political</w:t>
      </w:r>
      <w:r w:rsidR="00CF2E28" w:rsidRPr="00A73B07">
        <w:rPr>
          <w:sz w:val="20"/>
          <w:szCs w:val="20"/>
          <w:lang w:val="en-US"/>
        </w:rPr>
        <w:t xml:space="preserve"> </w:t>
      </w:r>
      <w:r w:rsidRPr="00A73B07">
        <w:rPr>
          <w:sz w:val="20"/>
          <w:szCs w:val="20"/>
          <w:lang w:val="en-US"/>
        </w:rPr>
        <w:t>Studies,</w:t>
      </w:r>
      <w:r w:rsidR="003751FD" w:rsidRPr="00A73B07">
        <w:rPr>
          <w:sz w:val="20"/>
          <w:szCs w:val="20"/>
          <w:lang w:val="en-US"/>
        </w:rPr>
        <w:t>v</w:t>
      </w:r>
      <w:r w:rsidRPr="00A73B07">
        <w:rPr>
          <w:sz w:val="20"/>
          <w:szCs w:val="20"/>
          <w:lang w:val="en-US"/>
        </w:rPr>
        <w:t>ol.65,</w:t>
      </w:r>
      <w:r w:rsidR="003751FD" w:rsidRPr="00A73B07">
        <w:rPr>
          <w:sz w:val="20"/>
          <w:szCs w:val="20"/>
          <w:lang w:val="en-US"/>
        </w:rPr>
        <w:t>n</w:t>
      </w:r>
      <w:r w:rsidRPr="00A73B07">
        <w:rPr>
          <w:sz w:val="20"/>
          <w:szCs w:val="20"/>
          <w:lang w:val="en-US"/>
        </w:rPr>
        <w:t>o.1,2017,pp.182-199;</w:t>
      </w:r>
      <w:r w:rsidRPr="00A73B07">
        <w:rPr>
          <w:rFonts w:cs="Stone Serif ITC"/>
          <w:color w:val="000000"/>
          <w:sz w:val="20"/>
          <w:szCs w:val="20"/>
          <w:lang w:val="en-US"/>
        </w:rPr>
        <w:t>Müller,</w:t>
      </w:r>
      <w:r w:rsidR="003751FD" w:rsidRPr="00A73B07">
        <w:rPr>
          <w:rFonts w:cs="Stone Serif ITC"/>
          <w:color w:val="000000"/>
          <w:sz w:val="20"/>
          <w:szCs w:val="20"/>
          <w:lang w:val="en-US"/>
        </w:rPr>
        <w:t>J.W.,</w:t>
      </w:r>
      <w:r w:rsidRPr="00A73B07">
        <w:rPr>
          <w:rFonts w:cs="Stone Serif ITC"/>
          <w:i/>
          <w:iCs/>
          <w:color w:val="000000"/>
          <w:sz w:val="20"/>
          <w:szCs w:val="20"/>
          <w:lang w:val="en-US"/>
        </w:rPr>
        <w:t>Militant</w:t>
      </w:r>
      <w:r w:rsidR="00CF2E28" w:rsidRPr="00A73B07">
        <w:rPr>
          <w:rFonts w:cs="Stone Serif ITC"/>
          <w:i/>
          <w:iCs/>
          <w:color w:val="000000"/>
          <w:sz w:val="20"/>
          <w:szCs w:val="20"/>
          <w:lang w:val="en-US"/>
        </w:rPr>
        <w:t xml:space="preserve"> </w:t>
      </w:r>
      <w:proofErr w:type="spellStart"/>
      <w:r w:rsidRPr="00A73B07">
        <w:rPr>
          <w:rFonts w:cs="Stone Serif ITC"/>
          <w:i/>
          <w:iCs/>
          <w:color w:val="000000"/>
          <w:sz w:val="20"/>
          <w:szCs w:val="20"/>
          <w:lang w:val="en-US"/>
        </w:rPr>
        <w:t>Democracy</w:t>
      </w:r>
      <w:r w:rsidRPr="00A73B07">
        <w:rPr>
          <w:rFonts w:cs="Stone Serif ITC"/>
          <w:color w:val="000000"/>
          <w:sz w:val="20"/>
          <w:szCs w:val="20"/>
          <w:lang w:val="en-US"/>
        </w:rPr>
        <w:t>,in</w:t>
      </w:r>
      <w:proofErr w:type="spellEnd"/>
      <w:r w:rsidRPr="00A73B07">
        <w:rPr>
          <w:rFonts w:cs="Stone Serif ITC"/>
          <w:color w:val="000000"/>
          <w:sz w:val="20"/>
          <w:szCs w:val="20"/>
          <w:lang w:val="en-US"/>
        </w:rPr>
        <w:t>: Rosenfeld</w:t>
      </w:r>
      <w:r w:rsidR="003751FD" w:rsidRPr="00A73B07">
        <w:rPr>
          <w:rFonts w:cs="Stone Serif ITC"/>
          <w:color w:val="000000"/>
          <w:sz w:val="20"/>
          <w:szCs w:val="20"/>
          <w:lang w:val="en-US"/>
        </w:rPr>
        <w:t>, M.;</w:t>
      </w:r>
      <w:proofErr w:type="spellStart"/>
      <w:r w:rsidRPr="00A73B07">
        <w:rPr>
          <w:rFonts w:cs="Stone Serif ITC"/>
          <w:color w:val="000000"/>
          <w:sz w:val="20"/>
          <w:szCs w:val="20"/>
          <w:lang w:val="en-US"/>
        </w:rPr>
        <w:t>Sajó</w:t>
      </w:r>
      <w:proofErr w:type="spellEnd"/>
      <w:r w:rsidR="003751FD" w:rsidRPr="00A73B07">
        <w:rPr>
          <w:rFonts w:cs="Stone Serif ITC"/>
          <w:color w:val="000000"/>
          <w:sz w:val="20"/>
          <w:szCs w:val="20"/>
          <w:lang w:val="en-US"/>
        </w:rPr>
        <w:t>, A.,</w:t>
      </w:r>
      <w:r w:rsidRPr="00A73B07">
        <w:rPr>
          <w:rFonts w:cs="Stone Serif ITC"/>
          <w:color w:val="000000"/>
          <w:sz w:val="20"/>
          <w:szCs w:val="20"/>
          <w:lang w:val="en-US"/>
        </w:rPr>
        <w:t xml:space="preserve"> (eds.), </w:t>
      </w:r>
      <w:r w:rsidRPr="00A73B07">
        <w:rPr>
          <w:rFonts w:cs="Stone Serif ITC"/>
          <w:i/>
          <w:iCs/>
          <w:color w:val="000000"/>
          <w:sz w:val="20"/>
          <w:szCs w:val="20"/>
          <w:lang w:val="en-US"/>
        </w:rPr>
        <w:t>The Oxford Handbook of Comparative Constitutional Law</w:t>
      </w:r>
      <w:r w:rsidRPr="00A73B07">
        <w:rPr>
          <w:rFonts w:cs="Stone Serif ITC"/>
          <w:color w:val="000000"/>
          <w:sz w:val="20"/>
          <w:szCs w:val="20"/>
          <w:lang w:val="en-US"/>
        </w:rPr>
        <w:t>, Oxford University</w:t>
      </w:r>
      <w:r w:rsidR="00CF2E28" w:rsidRPr="00A73B07">
        <w:rPr>
          <w:rFonts w:cs="Stone Serif ITC"/>
          <w:color w:val="000000"/>
          <w:sz w:val="20"/>
          <w:szCs w:val="20"/>
          <w:lang w:val="en-US"/>
        </w:rPr>
        <w:t xml:space="preserve"> </w:t>
      </w:r>
      <w:r w:rsidRPr="00A73B07">
        <w:rPr>
          <w:rFonts w:cs="Stone Serif ITC"/>
          <w:color w:val="000000"/>
          <w:sz w:val="20"/>
          <w:szCs w:val="20"/>
          <w:lang w:val="en-US"/>
        </w:rPr>
        <w:t>Press,Oxford,2012,pp.</w:t>
      </w:r>
      <w:r w:rsidR="00CF2E28" w:rsidRPr="00A73B07">
        <w:rPr>
          <w:rFonts w:cs="Stone Serif ITC"/>
          <w:color w:val="000000"/>
          <w:sz w:val="20"/>
          <w:szCs w:val="20"/>
          <w:lang w:val="en-US"/>
        </w:rPr>
        <w:t>1253-1269</w:t>
      </w:r>
      <w:r w:rsidR="007D7B76" w:rsidRPr="00A73B07">
        <w:rPr>
          <w:rFonts w:cs="Stone Serif ITC"/>
          <w:color w:val="000000"/>
          <w:sz w:val="20"/>
          <w:szCs w:val="20"/>
          <w:lang w:val="en-US"/>
        </w:rPr>
        <w:t>;</w:t>
      </w:r>
      <w:r w:rsidRPr="00A73B07">
        <w:rPr>
          <w:rFonts w:cs="Stone Serif ITC"/>
          <w:color w:val="000000"/>
          <w:sz w:val="20"/>
          <w:szCs w:val="20"/>
          <w:lang w:val="en-US"/>
        </w:rPr>
        <w:t>Capoccia,</w:t>
      </w:r>
      <w:r w:rsidR="00CF2E28" w:rsidRPr="00A73B07">
        <w:rPr>
          <w:rFonts w:cs="Stone Serif ITC"/>
          <w:color w:val="000000"/>
          <w:sz w:val="20"/>
          <w:szCs w:val="20"/>
          <w:lang w:val="en-US"/>
        </w:rPr>
        <w:t>G.,</w:t>
      </w:r>
      <w:r w:rsidRPr="00A73B07">
        <w:rPr>
          <w:rFonts w:cs="Stone Serif ITC"/>
          <w:i/>
          <w:iCs/>
          <w:color w:val="000000"/>
          <w:sz w:val="20"/>
          <w:szCs w:val="20"/>
          <w:lang w:val="en-US"/>
        </w:rPr>
        <w:t>Militant Democracy:</w:t>
      </w:r>
      <w:r w:rsidR="00CF2E28" w:rsidRPr="00A73B07">
        <w:rPr>
          <w:rFonts w:cs="Stone Serif ITC"/>
          <w:i/>
          <w:iCs/>
          <w:color w:val="000000"/>
          <w:sz w:val="20"/>
          <w:szCs w:val="20"/>
          <w:lang w:val="en-US"/>
        </w:rPr>
        <w:t xml:space="preserve"> </w:t>
      </w:r>
      <w:r w:rsidRPr="00A73B07">
        <w:rPr>
          <w:rFonts w:cs="Stone Serif ITC"/>
          <w:i/>
          <w:iCs/>
          <w:color w:val="000000"/>
          <w:sz w:val="20"/>
          <w:szCs w:val="20"/>
          <w:lang w:val="en-US"/>
        </w:rPr>
        <w:t>The</w:t>
      </w:r>
      <w:r w:rsidR="00CF2E28" w:rsidRPr="00A73B07">
        <w:rPr>
          <w:rFonts w:cs="Stone Serif ITC"/>
          <w:i/>
          <w:iCs/>
          <w:color w:val="000000"/>
          <w:sz w:val="20"/>
          <w:szCs w:val="20"/>
          <w:lang w:val="en-US"/>
        </w:rPr>
        <w:t xml:space="preserve"> </w:t>
      </w:r>
      <w:r w:rsidRPr="00A73B07">
        <w:rPr>
          <w:rFonts w:cs="Stone Serif ITC"/>
          <w:i/>
          <w:iCs/>
          <w:color w:val="000000"/>
          <w:sz w:val="20"/>
          <w:szCs w:val="20"/>
          <w:lang w:val="en-US"/>
        </w:rPr>
        <w:t>Institutional Bases of Democratic Self-Preservation</w:t>
      </w:r>
      <w:r w:rsidRPr="00A73B07">
        <w:rPr>
          <w:rFonts w:cs="Stone Serif ITC"/>
          <w:color w:val="000000"/>
          <w:sz w:val="20"/>
          <w:szCs w:val="20"/>
          <w:lang w:val="en-US"/>
        </w:rPr>
        <w:t xml:space="preserve">, Annual Review of Law and Social Science, vol.9, </w:t>
      </w:r>
      <w:r w:rsidR="00CF2E28" w:rsidRPr="00A73B07">
        <w:rPr>
          <w:rFonts w:cs="Stone Serif ITC"/>
          <w:color w:val="000000"/>
          <w:sz w:val="20"/>
          <w:szCs w:val="20"/>
          <w:lang w:val="en-US"/>
        </w:rPr>
        <w:t xml:space="preserve">no.1, 2013, </w:t>
      </w:r>
      <w:r w:rsidRPr="00A73B07">
        <w:rPr>
          <w:rFonts w:cs="Stone Serif ITC"/>
          <w:color w:val="000000"/>
          <w:sz w:val="20"/>
          <w:szCs w:val="20"/>
          <w:lang w:val="en-US"/>
        </w:rPr>
        <w:t>pp. 207-226;</w:t>
      </w:r>
      <w:r w:rsidRPr="00A73B07">
        <w:rPr>
          <w:sz w:val="20"/>
          <w:szCs w:val="20"/>
          <w:lang w:val="en-US"/>
        </w:rPr>
        <w:t xml:space="preserve"> </w:t>
      </w:r>
      <w:proofErr w:type="spellStart"/>
      <w:r w:rsidRPr="00A73B07">
        <w:rPr>
          <w:rFonts w:cs="Stone Serif ITC"/>
          <w:color w:val="000000"/>
          <w:sz w:val="20"/>
          <w:szCs w:val="20"/>
          <w:lang w:val="en-US"/>
        </w:rPr>
        <w:t>Müller</w:t>
      </w:r>
      <w:proofErr w:type="spellEnd"/>
      <w:r w:rsidRPr="00A73B07">
        <w:rPr>
          <w:rFonts w:cs="Stone Serif ITC"/>
          <w:color w:val="000000"/>
          <w:sz w:val="20"/>
          <w:szCs w:val="20"/>
          <w:lang w:val="en-US"/>
        </w:rPr>
        <w:t>, J.W.</w:t>
      </w:r>
      <w:r w:rsidR="00CF2E28" w:rsidRPr="00A73B07">
        <w:rPr>
          <w:rFonts w:cs="Stone Serif ITC"/>
          <w:color w:val="000000"/>
          <w:sz w:val="20"/>
          <w:szCs w:val="20"/>
          <w:lang w:val="en-US"/>
        </w:rPr>
        <w:t>,</w:t>
      </w:r>
      <w:r w:rsidRPr="00A73B07">
        <w:rPr>
          <w:rFonts w:cs="Stone Serif ITC"/>
          <w:color w:val="000000"/>
          <w:sz w:val="20"/>
          <w:szCs w:val="20"/>
          <w:lang w:val="en-US"/>
        </w:rPr>
        <w:t xml:space="preserve"> </w:t>
      </w:r>
      <w:r w:rsidRPr="00A73B07">
        <w:rPr>
          <w:rFonts w:cs="Stone Serif ITC"/>
          <w:i/>
          <w:iCs/>
          <w:color w:val="000000"/>
          <w:sz w:val="20"/>
          <w:szCs w:val="20"/>
          <w:lang w:val="en-US"/>
        </w:rPr>
        <w:t xml:space="preserve">A </w:t>
      </w:r>
      <w:r w:rsidR="00CF2E28" w:rsidRPr="00A73B07">
        <w:rPr>
          <w:rFonts w:cs="Stone Serif ITC"/>
          <w:i/>
          <w:iCs/>
          <w:color w:val="000000"/>
          <w:sz w:val="20"/>
          <w:szCs w:val="20"/>
          <w:lang w:val="en-US"/>
        </w:rPr>
        <w:t>P</w:t>
      </w:r>
      <w:r w:rsidRPr="00A73B07">
        <w:rPr>
          <w:rFonts w:cs="Stone Serif ITC"/>
          <w:i/>
          <w:iCs/>
          <w:color w:val="000000"/>
          <w:sz w:val="20"/>
          <w:szCs w:val="20"/>
          <w:lang w:val="en-US"/>
        </w:rPr>
        <w:t xml:space="preserve">ractical </w:t>
      </w:r>
      <w:r w:rsidR="00CF2E28" w:rsidRPr="00A73B07">
        <w:rPr>
          <w:rFonts w:cs="Stone Serif ITC"/>
          <w:i/>
          <w:iCs/>
          <w:color w:val="000000"/>
          <w:sz w:val="20"/>
          <w:szCs w:val="20"/>
          <w:lang w:val="en-US"/>
        </w:rPr>
        <w:t>D</w:t>
      </w:r>
      <w:r w:rsidRPr="00A73B07">
        <w:rPr>
          <w:rFonts w:cs="Stone Serif ITC"/>
          <w:i/>
          <w:iCs/>
          <w:color w:val="000000"/>
          <w:sz w:val="20"/>
          <w:szCs w:val="20"/>
          <w:lang w:val="en-US"/>
        </w:rPr>
        <w:t xml:space="preserve">ilemma </w:t>
      </w:r>
      <w:r w:rsidR="00CF2E28" w:rsidRPr="00A73B07">
        <w:rPr>
          <w:rFonts w:cs="Stone Serif ITC"/>
          <w:i/>
          <w:iCs/>
          <w:color w:val="000000"/>
          <w:sz w:val="20"/>
          <w:szCs w:val="20"/>
          <w:lang w:val="en-US"/>
        </w:rPr>
        <w:t>W</w:t>
      </w:r>
      <w:r w:rsidRPr="00A73B07">
        <w:rPr>
          <w:rFonts w:cs="Stone Serif ITC"/>
          <w:i/>
          <w:iCs/>
          <w:color w:val="000000"/>
          <w:sz w:val="20"/>
          <w:szCs w:val="20"/>
          <w:lang w:val="en-US"/>
        </w:rPr>
        <w:t xml:space="preserve">hich </w:t>
      </w:r>
      <w:r w:rsidR="00CF2E28" w:rsidRPr="00A73B07">
        <w:rPr>
          <w:rFonts w:cs="Stone Serif ITC"/>
          <w:i/>
          <w:iCs/>
          <w:color w:val="000000"/>
          <w:sz w:val="20"/>
          <w:szCs w:val="20"/>
          <w:lang w:val="en-US"/>
        </w:rPr>
        <w:t>P</w:t>
      </w:r>
      <w:r w:rsidRPr="00A73B07">
        <w:rPr>
          <w:rFonts w:cs="Stone Serif ITC"/>
          <w:i/>
          <w:iCs/>
          <w:color w:val="000000"/>
          <w:sz w:val="20"/>
          <w:szCs w:val="20"/>
          <w:lang w:val="en-US"/>
        </w:rPr>
        <w:t xml:space="preserve">hilosophy </w:t>
      </w:r>
      <w:r w:rsidR="00CF2E28" w:rsidRPr="00A73B07">
        <w:rPr>
          <w:rFonts w:cs="Stone Serif ITC"/>
          <w:i/>
          <w:iCs/>
          <w:color w:val="000000"/>
          <w:sz w:val="20"/>
          <w:szCs w:val="20"/>
          <w:lang w:val="en-US"/>
        </w:rPr>
        <w:t>A</w:t>
      </w:r>
      <w:r w:rsidRPr="00A73B07">
        <w:rPr>
          <w:rFonts w:cs="Stone Serif ITC"/>
          <w:i/>
          <w:iCs/>
          <w:color w:val="000000"/>
          <w:sz w:val="20"/>
          <w:szCs w:val="20"/>
          <w:lang w:val="en-US"/>
        </w:rPr>
        <w:t xml:space="preserve">lone </w:t>
      </w:r>
      <w:r w:rsidR="00CF2E28" w:rsidRPr="00A73B07">
        <w:rPr>
          <w:rFonts w:cs="Stone Serif ITC"/>
          <w:i/>
          <w:iCs/>
          <w:color w:val="000000"/>
          <w:sz w:val="20"/>
          <w:szCs w:val="20"/>
          <w:lang w:val="en-US"/>
        </w:rPr>
        <w:t>C</w:t>
      </w:r>
      <w:r w:rsidRPr="00A73B07">
        <w:rPr>
          <w:rFonts w:cs="Stone Serif ITC"/>
          <w:i/>
          <w:iCs/>
          <w:color w:val="000000"/>
          <w:sz w:val="20"/>
          <w:szCs w:val="20"/>
          <w:lang w:val="en-US"/>
        </w:rPr>
        <w:t xml:space="preserve">annot </w:t>
      </w:r>
      <w:r w:rsidR="00CF2E28" w:rsidRPr="00A73B07">
        <w:rPr>
          <w:rFonts w:cs="Stone Serif ITC"/>
          <w:i/>
          <w:iCs/>
          <w:color w:val="000000"/>
          <w:sz w:val="20"/>
          <w:szCs w:val="20"/>
          <w:lang w:val="en-US"/>
        </w:rPr>
        <w:t>R</w:t>
      </w:r>
      <w:r w:rsidRPr="00A73B07">
        <w:rPr>
          <w:rFonts w:cs="Stone Serif ITC"/>
          <w:i/>
          <w:iCs/>
          <w:color w:val="000000"/>
          <w:sz w:val="20"/>
          <w:szCs w:val="20"/>
          <w:lang w:val="en-US"/>
        </w:rPr>
        <w:t xml:space="preserve">esolve? Rethinking </w:t>
      </w:r>
      <w:r w:rsidR="00735988" w:rsidRPr="00A73B07">
        <w:rPr>
          <w:rFonts w:cs="Stone Serif ITC"/>
          <w:i/>
          <w:iCs/>
          <w:color w:val="000000"/>
          <w:sz w:val="20"/>
          <w:szCs w:val="20"/>
          <w:lang w:val="en-US"/>
        </w:rPr>
        <w:t>M</w:t>
      </w:r>
      <w:r w:rsidRPr="00A73B07">
        <w:rPr>
          <w:rFonts w:cs="Stone Serif ITC"/>
          <w:i/>
          <w:iCs/>
          <w:color w:val="000000"/>
          <w:sz w:val="20"/>
          <w:szCs w:val="20"/>
          <w:lang w:val="en-US"/>
        </w:rPr>
        <w:t xml:space="preserve">ilitant </w:t>
      </w:r>
      <w:r w:rsidR="00735988" w:rsidRPr="00A73B07">
        <w:rPr>
          <w:rFonts w:cs="Stone Serif ITC"/>
          <w:i/>
          <w:iCs/>
          <w:color w:val="000000"/>
          <w:sz w:val="20"/>
          <w:szCs w:val="20"/>
          <w:lang w:val="en-US"/>
        </w:rPr>
        <w:t>D</w:t>
      </w:r>
      <w:r w:rsidRPr="00A73B07">
        <w:rPr>
          <w:rFonts w:cs="Stone Serif ITC"/>
          <w:i/>
          <w:iCs/>
          <w:color w:val="000000"/>
          <w:sz w:val="20"/>
          <w:szCs w:val="20"/>
          <w:lang w:val="en-US"/>
        </w:rPr>
        <w:t xml:space="preserve">emocracy: </w:t>
      </w:r>
      <w:r w:rsidR="00735988" w:rsidRPr="00A73B07">
        <w:rPr>
          <w:rFonts w:cs="Stone Serif ITC"/>
          <w:i/>
          <w:iCs/>
          <w:color w:val="000000"/>
          <w:sz w:val="20"/>
          <w:szCs w:val="20"/>
          <w:lang w:val="en-US"/>
        </w:rPr>
        <w:t>A</w:t>
      </w:r>
      <w:r w:rsidRPr="00A73B07">
        <w:rPr>
          <w:rFonts w:cs="Stone Serif ITC"/>
          <w:i/>
          <w:iCs/>
          <w:color w:val="000000"/>
          <w:sz w:val="20"/>
          <w:szCs w:val="20"/>
          <w:lang w:val="en-US"/>
        </w:rPr>
        <w:t xml:space="preserve">n </w:t>
      </w:r>
      <w:r w:rsidR="00735988" w:rsidRPr="00A73B07">
        <w:rPr>
          <w:rFonts w:cs="Stone Serif ITC"/>
          <w:i/>
          <w:iCs/>
          <w:color w:val="000000"/>
          <w:sz w:val="20"/>
          <w:szCs w:val="20"/>
          <w:lang w:val="en-US"/>
        </w:rPr>
        <w:t>I</w:t>
      </w:r>
      <w:r w:rsidRPr="00A73B07">
        <w:rPr>
          <w:rFonts w:cs="Stone Serif ITC"/>
          <w:i/>
          <w:iCs/>
          <w:color w:val="000000"/>
          <w:sz w:val="20"/>
          <w:szCs w:val="20"/>
          <w:lang w:val="en-US"/>
        </w:rPr>
        <w:t>ntroduction</w:t>
      </w:r>
      <w:r w:rsidR="007D7B76" w:rsidRPr="00A73B07">
        <w:rPr>
          <w:rFonts w:cs="Stone Serif ITC"/>
          <w:color w:val="000000"/>
          <w:sz w:val="20"/>
          <w:szCs w:val="20"/>
          <w:lang w:val="en-US"/>
        </w:rPr>
        <w:t>,</w:t>
      </w:r>
      <w:r w:rsidR="00735988" w:rsidRPr="00A73B07">
        <w:rPr>
          <w:rFonts w:cs="Stone Serif ITC"/>
          <w:color w:val="000000"/>
          <w:sz w:val="20"/>
          <w:szCs w:val="20"/>
          <w:lang w:val="en-US"/>
        </w:rPr>
        <w:t xml:space="preserve"> </w:t>
      </w:r>
      <w:r w:rsidRPr="00A73B07">
        <w:rPr>
          <w:rFonts w:cs="Stone Serif ITC"/>
          <w:color w:val="000000"/>
          <w:sz w:val="20"/>
          <w:szCs w:val="20"/>
          <w:lang w:val="en-US"/>
        </w:rPr>
        <w:t>Constellations</w:t>
      </w:r>
      <w:r w:rsidR="007D7B76" w:rsidRPr="00A73B07">
        <w:rPr>
          <w:rFonts w:cs="Stone Serif ITC"/>
          <w:color w:val="000000"/>
          <w:sz w:val="20"/>
          <w:szCs w:val="20"/>
          <w:lang w:val="en-US"/>
        </w:rPr>
        <w:t xml:space="preserve">, </w:t>
      </w:r>
      <w:r w:rsidR="00735988" w:rsidRPr="00A73B07">
        <w:rPr>
          <w:rFonts w:cs="Stone Serif ITC"/>
          <w:color w:val="000000"/>
          <w:sz w:val="20"/>
          <w:szCs w:val="20"/>
          <w:lang w:val="en-US"/>
        </w:rPr>
        <w:t>vol.</w:t>
      </w:r>
      <w:r w:rsidRPr="00A73B07">
        <w:rPr>
          <w:rFonts w:cs="Stone Serif ITC"/>
          <w:color w:val="000000"/>
          <w:sz w:val="20"/>
          <w:szCs w:val="20"/>
          <w:lang w:val="en-US"/>
        </w:rPr>
        <w:t>19</w:t>
      </w:r>
      <w:r w:rsidR="00735988" w:rsidRPr="00A73B07">
        <w:rPr>
          <w:rFonts w:cs="Stone Serif ITC"/>
          <w:color w:val="000000"/>
          <w:sz w:val="20"/>
          <w:szCs w:val="20"/>
          <w:lang w:val="en-US"/>
        </w:rPr>
        <w:t>, no.</w:t>
      </w:r>
      <w:r w:rsidRPr="00A73B07">
        <w:rPr>
          <w:rFonts w:cs="Stone Serif ITC"/>
          <w:color w:val="000000"/>
          <w:sz w:val="20"/>
          <w:szCs w:val="20"/>
          <w:lang w:val="en-US"/>
        </w:rPr>
        <w:t>4</w:t>
      </w:r>
      <w:r w:rsidR="00735988" w:rsidRPr="00A73B07">
        <w:rPr>
          <w:rFonts w:cs="Stone Serif ITC"/>
          <w:color w:val="000000"/>
          <w:sz w:val="20"/>
          <w:szCs w:val="20"/>
          <w:lang w:val="en-US"/>
        </w:rPr>
        <w:t>,2012,pp.</w:t>
      </w:r>
      <w:r w:rsidRPr="00A73B07">
        <w:rPr>
          <w:rFonts w:cs="Stone Serif ITC"/>
          <w:color w:val="000000"/>
          <w:sz w:val="20"/>
          <w:szCs w:val="20"/>
          <w:lang w:val="en-US"/>
        </w:rPr>
        <w:t>536–539</w:t>
      </w:r>
      <w:r w:rsidR="007D7B76" w:rsidRPr="00A73B07">
        <w:rPr>
          <w:rFonts w:cs="Stone Serif ITC"/>
          <w:color w:val="000000"/>
          <w:sz w:val="20"/>
          <w:szCs w:val="20"/>
          <w:lang w:val="en-US"/>
        </w:rPr>
        <w:t>; Fox</w:t>
      </w:r>
      <w:r w:rsidR="00B46AD0" w:rsidRPr="00A73B07">
        <w:rPr>
          <w:rFonts w:cs="Stone Serif ITC"/>
          <w:color w:val="000000"/>
          <w:sz w:val="20"/>
          <w:szCs w:val="20"/>
          <w:lang w:val="en-US"/>
        </w:rPr>
        <w:t xml:space="preserve">, H.; </w:t>
      </w:r>
      <w:r w:rsidR="007D7B76" w:rsidRPr="00A73B07">
        <w:rPr>
          <w:rFonts w:cs="Stone Serif ITC"/>
          <w:color w:val="000000"/>
          <w:sz w:val="20"/>
          <w:szCs w:val="20"/>
          <w:lang w:val="en-US"/>
        </w:rPr>
        <w:t>Nolte,</w:t>
      </w:r>
      <w:r w:rsidR="00B46AD0" w:rsidRPr="00A73B07">
        <w:rPr>
          <w:rFonts w:cs="Stone Serif ITC"/>
          <w:color w:val="000000"/>
          <w:sz w:val="20"/>
          <w:szCs w:val="20"/>
          <w:lang w:val="en-US"/>
        </w:rPr>
        <w:t xml:space="preserve"> G., </w:t>
      </w:r>
      <w:r w:rsidR="007D7B76" w:rsidRPr="00A73B07">
        <w:rPr>
          <w:rFonts w:cs="Stone Serif ITC"/>
          <w:i/>
          <w:iCs/>
          <w:color w:val="000000"/>
          <w:sz w:val="20"/>
          <w:szCs w:val="20"/>
          <w:lang w:val="en-US"/>
        </w:rPr>
        <w:t>Intolerant Democracies</w:t>
      </w:r>
      <w:r w:rsidR="007D7B76" w:rsidRPr="00A73B07">
        <w:rPr>
          <w:rFonts w:cs="Stone Serif ITC"/>
          <w:color w:val="000000"/>
          <w:sz w:val="20"/>
          <w:szCs w:val="20"/>
          <w:lang w:val="en-US"/>
        </w:rPr>
        <w:t>,</w:t>
      </w:r>
      <w:r w:rsidR="00B46AD0" w:rsidRPr="00A73B07">
        <w:rPr>
          <w:rFonts w:cs="Stone Serif ITC"/>
          <w:color w:val="000000"/>
          <w:sz w:val="20"/>
          <w:szCs w:val="20"/>
          <w:lang w:val="en-US"/>
        </w:rPr>
        <w:t xml:space="preserve"> </w:t>
      </w:r>
      <w:r w:rsidR="007D7B76" w:rsidRPr="00A73B07">
        <w:rPr>
          <w:rFonts w:cs="Stone Serif ITC"/>
          <w:color w:val="000000"/>
          <w:sz w:val="20"/>
          <w:szCs w:val="20"/>
          <w:lang w:val="en-US"/>
        </w:rPr>
        <w:t>Harvard International Law Journal, vol.36,no.1,</w:t>
      </w:r>
      <w:r w:rsidR="00B46AD0" w:rsidRPr="00A73B07">
        <w:rPr>
          <w:rFonts w:cs="Stone Serif ITC"/>
          <w:color w:val="000000"/>
          <w:sz w:val="20"/>
          <w:szCs w:val="20"/>
          <w:lang w:val="en-US"/>
        </w:rPr>
        <w:t>1995,</w:t>
      </w:r>
      <w:r w:rsidR="007D7B76" w:rsidRPr="00A73B07">
        <w:rPr>
          <w:rFonts w:cs="Stone Serif ITC"/>
          <w:color w:val="000000"/>
          <w:sz w:val="20"/>
          <w:szCs w:val="20"/>
          <w:lang w:val="en-US"/>
        </w:rPr>
        <w:t>pp.1</w:t>
      </w:r>
      <w:r w:rsidR="00D103DB" w:rsidRPr="00A73B07">
        <w:rPr>
          <w:rFonts w:cs="Stone Serif ITC"/>
          <w:color w:val="000000"/>
          <w:sz w:val="20"/>
          <w:szCs w:val="20"/>
          <w:lang w:val="en-US"/>
        </w:rPr>
        <w:t>-</w:t>
      </w:r>
      <w:r w:rsidR="007D7B76" w:rsidRPr="00A73B07">
        <w:rPr>
          <w:rFonts w:cs="Stone Serif ITC"/>
          <w:color w:val="000000"/>
          <w:sz w:val="20"/>
          <w:szCs w:val="20"/>
          <w:lang w:val="en-US"/>
        </w:rPr>
        <w:t>70;</w:t>
      </w:r>
      <w:r w:rsidR="007D7B76" w:rsidRPr="00A73B07">
        <w:rPr>
          <w:sz w:val="20"/>
          <w:szCs w:val="20"/>
          <w:lang w:val="en-US"/>
        </w:rPr>
        <w:t>Beširević,</w:t>
      </w:r>
      <w:r w:rsidR="00B46AD0" w:rsidRPr="00A73B07">
        <w:rPr>
          <w:sz w:val="20"/>
          <w:szCs w:val="20"/>
          <w:lang w:val="en-US"/>
        </w:rPr>
        <w:t>V.</w:t>
      </w:r>
      <w:r w:rsidR="005C425C">
        <w:rPr>
          <w:sz w:val="20"/>
          <w:szCs w:val="20"/>
          <w:lang w:val="en-US"/>
        </w:rPr>
        <w:t xml:space="preserve"> </w:t>
      </w:r>
      <w:r w:rsidR="00B46AD0" w:rsidRPr="00A73B07">
        <w:rPr>
          <w:sz w:val="20"/>
          <w:szCs w:val="20"/>
          <w:lang w:val="en-US"/>
        </w:rPr>
        <w:t>(ed.),</w:t>
      </w:r>
      <w:proofErr w:type="spellStart"/>
      <w:r w:rsidR="007D7B76" w:rsidRPr="00A73B07">
        <w:rPr>
          <w:i/>
          <w:iCs/>
          <w:sz w:val="20"/>
          <w:szCs w:val="20"/>
          <w:lang w:val="en-US"/>
        </w:rPr>
        <w:t>Miltantna</w:t>
      </w:r>
      <w:proofErr w:type="spellEnd"/>
      <w:r w:rsidR="007D7B76" w:rsidRPr="00A73B07">
        <w:rPr>
          <w:i/>
          <w:iCs/>
          <w:sz w:val="20"/>
          <w:szCs w:val="20"/>
          <w:lang w:val="en-US"/>
        </w:rPr>
        <w:t xml:space="preserve"> </w:t>
      </w:r>
      <w:proofErr w:type="spellStart"/>
      <w:r w:rsidR="007D7B76" w:rsidRPr="00A73B07">
        <w:rPr>
          <w:i/>
          <w:iCs/>
          <w:sz w:val="20"/>
          <w:szCs w:val="20"/>
          <w:lang w:val="en-US"/>
        </w:rPr>
        <w:t>demokratija</w:t>
      </w:r>
      <w:proofErr w:type="spellEnd"/>
      <w:r w:rsidR="007D7B76" w:rsidRPr="00A73B07">
        <w:rPr>
          <w:i/>
          <w:iCs/>
          <w:sz w:val="20"/>
          <w:szCs w:val="20"/>
          <w:lang w:val="en-US"/>
        </w:rPr>
        <w:t xml:space="preserve">- </w:t>
      </w:r>
      <w:proofErr w:type="spellStart"/>
      <w:r w:rsidR="007D7B76" w:rsidRPr="00A73B07">
        <w:rPr>
          <w:i/>
          <w:iCs/>
          <w:sz w:val="20"/>
          <w:szCs w:val="20"/>
          <w:lang w:val="en-US"/>
        </w:rPr>
        <w:t>nekada</w:t>
      </w:r>
      <w:proofErr w:type="spellEnd"/>
      <w:r w:rsidR="007D7B76" w:rsidRPr="00A73B07">
        <w:rPr>
          <w:i/>
          <w:iCs/>
          <w:sz w:val="20"/>
          <w:szCs w:val="20"/>
          <w:lang w:val="en-US"/>
        </w:rPr>
        <w:t xml:space="preserve"> </w:t>
      </w:r>
      <w:proofErr w:type="spellStart"/>
      <w:r w:rsidR="007D7B76" w:rsidRPr="00A73B07">
        <w:rPr>
          <w:i/>
          <w:iCs/>
          <w:sz w:val="20"/>
          <w:szCs w:val="20"/>
          <w:lang w:val="en-US"/>
        </w:rPr>
        <w:t>i</w:t>
      </w:r>
      <w:proofErr w:type="spellEnd"/>
      <w:r w:rsidR="007D7B76" w:rsidRPr="00A73B07">
        <w:rPr>
          <w:i/>
          <w:iCs/>
          <w:sz w:val="20"/>
          <w:szCs w:val="20"/>
          <w:lang w:val="en-US"/>
        </w:rPr>
        <w:t xml:space="preserve"> </w:t>
      </w:r>
      <w:proofErr w:type="spellStart"/>
      <w:r w:rsidR="007D7B76" w:rsidRPr="00A73B07">
        <w:rPr>
          <w:i/>
          <w:iCs/>
          <w:sz w:val="20"/>
          <w:szCs w:val="20"/>
          <w:lang w:val="en-US"/>
        </w:rPr>
        <w:t>sada</w:t>
      </w:r>
      <w:proofErr w:type="spellEnd"/>
      <w:r w:rsidR="007D7B76" w:rsidRPr="00A73B07">
        <w:rPr>
          <w:sz w:val="20"/>
          <w:szCs w:val="20"/>
          <w:lang w:val="en-US"/>
        </w:rPr>
        <w:t xml:space="preserve"> [</w:t>
      </w:r>
      <w:r w:rsidR="007D7B76" w:rsidRPr="00A73B07">
        <w:rPr>
          <w:i/>
          <w:iCs/>
          <w:sz w:val="20"/>
          <w:szCs w:val="20"/>
          <w:lang w:val="en-US"/>
        </w:rPr>
        <w:t>Militant Democracy</w:t>
      </w:r>
      <w:r w:rsidR="00B46AD0" w:rsidRPr="00A73B07">
        <w:rPr>
          <w:i/>
          <w:iCs/>
          <w:sz w:val="20"/>
          <w:szCs w:val="20"/>
          <w:lang w:val="en-US"/>
        </w:rPr>
        <w:t>-</w:t>
      </w:r>
      <w:r w:rsidR="007D7B76" w:rsidRPr="00A73B07">
        <w:rPr>
          <w:i/>
          <w:iCs/>
          <w:sz w:val="20"/>
          <w:szCs w:val="20"/>
          <w:lang w:val="en-US"/>
        </w:rPr>
        <w:t>Then and Now</w:t>
      </w:r>
      <w:r w:rsidR="007D7B76" w:rsidRPr="00A73B07">
        <w:rPr>
          <w:sz w:val="20"/>
          <w:szCs w:val="20"/>
          <w:lang w:val="en-US"/>
        </w:rPr>
        <w:t xml:space="preserve">], </w:t>
      </w:r>
      <w:proofErr w:type="spellStart"/>
      <w:r w:rsidR="007D7B76" w:rsidRPr="00A73B07">
        <w:rPr>
          <w:sz w:val="20"/>
          <w:szCs w:val="20"/>
          <w:lang w:val="en-US"/>
        </w:rPr>
        <w:t>P</w:t>
      </w:r>
      <w:r w:rsidR="00BD0F91" w:rsidRPr="00A73B07">
        <w:rPr>
          <w:sz w:val="20"/>
          <w:szCs w:val="20"/>
          <w:lang w:val="en-US"/>
        </w:rPr>
        <w:t>ravni</w:t>
      </w:r>
      <w:proofErr w:type="spellEnd"/>
      <w:r w:rsidR="00BD0F91" w:rsidRPr="00A73B07">
        <w:rPr>
          <w:sz w:val="20"/>
          <w:szCs w:val="20"/>
          <w:lang w:val="en-US"/>
        </w:rPr>
        <w:t xml:space="preserve"> </w:t>
      </w:r>
      <w:proofErr w:type="spellStart"/>
      <w:r w:rsidR="00BD0F91" w:rsidRPr="00A73B07">
        <w:rPr>
          <w:sz w:val="20"/>
          <w:szCs w:val="20"/>
          <w:lang w:val="en-US"/>
        </w:rPr>
        <w:t>fakultet</w:t>
      </w:r>
      <w:proofErr w:type="spellEnd"/>
      <w:r w:rsidR="00BD0F91" w:rsidRPr="00A73B07">
        <w:rPr>
          <w:sz w:val="20"/>
          <w:szCs w:val="20"/>
          <w:lang w:val="en-US"/>
        </w:rPr>
        <w:t xml:space="preserve"> </w:t>
      </w:r>
      <w:proofErr w:type="spellStart"/>
      <w:r w:rsidR="007D7B76" w:rsidRPr="00A73B07">
        <w:rPr>
          <w:sz w:val="20"/>
          <w:szCs w:val="20"/>
          <w:lang w:val="en-US"/>
        </w:rPr>
        <w:t>U</w:t>
      </w:r>
      <w:r w:rsidR="00BD0F91" w:rsidRPr="00A73B07">
        <w:rPr>
          <w:sz w:val="20"/>
          <w:szCs w:val="20"/>
          <w:lang w:val="en-US"/>
        </w:rPr>
        <w:t>niverziteta</w:t>
      </w:r>
      <w:proofErr w:type="spellEnd"/>
      <w:r w:rsidR="00BD0F91" w:rsidRPr="00A73B07">
        <w:rPr>
          <w:sz w:val="20"/>
          <w:szCs w:val="20"/>
          <w:lang w:val="en-US"/>
        </w:rPr>
        <w:t xml:space="preserve"> </w:t>
      </w:r>
      <w:r w:rsidR="007D7B76" w:rsidRPr="00A73B07">
        <w:rPr>
          <w:sz w:val="20"/>
          <w:szCs w:val="20"/>
          <w:lang w:val="en-US"/>
        </w:rPr>
        <w:t>U</w:t>
      </w:r>
      <w:r w:rsidR="00BD0F91" w:rsidRPr="00A73B07">
        <w:rPr>
          <w:sz w:val="20"/>
          <w:szCs w:val="20"/>
          <w:lang w:val="en-US"/>
        </w:rPr>
        <w:t xml:space="preserve">nion u </w:t>
      </w:r>
      <w:proofErr w:type="spellStart"/>
      <w:r w:rsidR="007D7B76" w:rsidRPr="00A73B07">
        <w:rPr>
          <w:sz w:val="20"/>
          <w:szCs w:val="20"/>
          <w:lang w:val="en-US"/>
        </w:rPr>
        <w:t>B</w:t>
      </w:r>
      <w:r w:rsidR="00BD0F91" w:rsidRPr="00A73B07">
        <w:rPr>
          <w:sz w:val="20"/>
          <w:szCs w:val="20"/>
          <w:lang w:val="en-US"/>
        </w:rPr>
        <w:t>eogradu</w:t>
      </w:r>
      <w:proofErr w:type="spellEnd"/>
      <w:r w:rsidR="00BD0F91" w:rsidRPr="00A73B07">
        <w:rPr>
          <w:sz w:val="20"/>
          <w:szCs w:val="20"/>
          <w:lang w:val="en-US"/>
        </w:rPr>
        <w:t xml:space="preserve">, </w:t>
      </w:r>
      <w:proofErr w:type="spellStart"/>
      <w:r w:rsidR="007D7B76" w:rsidRPr="00A73B07">
        <w:rPr>
          <w:sz w:val="20"/>
          <w:szCs w:val="20"/>
          <w:lang w:val="en-US"/>
        </w:rPr>
        <w:t>Službeni</w:t>
      </w:r>
      <w:proofErr w:type="spellEnd"/>
      <w:r w:rsidR="007D7B76" w:rsidRPr="00A73B07">
        <w:rPr>
          <w:sz w:val="20"/>
          <w:szCs w:val="20"/>
          <w:lang w:val="en-US"/>
        </w:rPr>
        <w:t xml:space="preserve"> </w:t>
      </w:r>
      <w:proofErr w:type="spellStart"/>
      <w:r w:rsidR="007D7B76" w:rsidRPr="00A73B07">
        <w:rPr>
          <w:sz w:val="20"/>
          <w:szCs w:val="20"/>
          <w:lang w:val="en-US"/>
        </w:rPr>
        <w:t>Glasnik</w:t>
      </w:r>
      <w:proofErr w:type="spellEnd"/>
      <w:r w:rsidR="007D7B76" w:rsidRPr="00A73B07">
        <w:rPr>
          <w:sz w:val="20"/>
          <w:szCs w:val="20"/>
          <w:lang w:val="en-US"/>
        </w:rPr>
        <w:t xml:space="preserve">, </w:t>
      </w:r>
      <w:r w:rsidR="00B46AD0" w:rsidRPr="00A73B07">
        <w:rPr>
          <w:sz w:val="20"/>
          <w:szCs w:val="20"/>
          <w:lang w:val="en-US"/>
        </w:rPr>
        <w:t xml:space="preserve">Belgrade, </w:t>
      </w:r>
      <w:r w:rsidR="007D7B76" w:rsidRPr="00A73B07">
        <w:rPr>
          <w:sz w:val="20"/>
          <w:szCs w:val="20"/>
          <w:lang w:val="en-US"/>
        </w:rPr>
        <w:t xml:space="preserve">2013. </w:t>
      </w:r>
    </w:p>
  </w:footnote>
  <w:footnote w:id="3">
    <w:p w14:paraId="5A414B83" w14:textId="3A35BB29" w:rsidR="009E1534" w:rsidRPr="00A73B07" w:rsidRDefault="009E1534" w:rsidP="00A73B07">
      <w:pPr>
        <w:keepLines/>
        <w:jc w:val="both"/>
        <w:rPr>
          <w:sz w:val="20"/>
          <w:szCs w:val="20"/>
          <w:lang w:val="en-US"/>
        </w:rPr>
      </w:pPr>
      <w:r w:rsidRPr="00A73B07">
        <w:rPr>
          <w:rStyle w:val="FootnoteReference"/>
          <w:sz w:val="20"/>
          <w:szCs w:val="20"/>
          <w:lang w:val="en-US"/>
        </w:rPr>
        <w:footnoteRef/>
      </w:r>
      <w:r w:rsidRPr="00A73B07">
        <w:rPr>
          <w:sz w:val="20"/>
          <w:szCs w:val="20"/>
          <w:lang w:val="en-US"/>
        </w:rPr>
        <w:t xml:space="preserve"> </w:t>
      </w:r>
      <w:r w:rsidR="00AB662C">
        <w:rPr>
          <w:sz w:val="20"/>
          <w:szCs w:val="20"/>
          <w:lang w:val="en-US"/>
        </w:rPr>
        <w:t xml:space="preserve">See, </w:t>
      </w:r>
      <w:r w:rsidR="00AB662C" w:rsidRPr="00AB662C">
        <w:rPr>
          <w:i/>
          <w:iCs/>
          <w:sz w:val="20"/>
          <w:szCs w:val="20"/>
          <w:lang w:val="en-US"/>
        </w:rPr>
        <w:t>e.g</w:t>
      </w:r>
      <w:r w:rsidR="00AB662C">
        <w:rPr>
          <w:sz w:val="20"/>
          <w:szCs w:val="20"/>
          <w:lang w:val="en-US"/>
        </w:rPr>
        <w:t>.,</w:t>
      </w:r>
      <w:proofErr w:type="spellStart"/>
      <w:r w:rsidR="007E1A3E" w:rsidRPr="00A73B07">
        <w:rPr>
          <w:rFonts w:eastAsiaTheme="minorHAnsi"/>
          <w:sz w:val="20"/>
          <w:szCs w:val="20"/>
          <w:lang w:val="en-US" w:eastAsia="en-US"/>
        </w:rPr>
        <w:t>Mudde</w:t>
      </w:r>
      <w:proofErr w:type="spellEnd"/>
      <w:r w:rsidR="007E1A3E" w:rsidRPr="00A73B07">
        <w:rPr>
          <w:rFonts w:eastAsiaTheme="minorHAnsi"/>
          <w:sz w:val="20"/>
          <w:szCs w:val="20"/>
          <w:lang w:val="en-US" w:eastAsia="en-US"/>
        </w:rPr>
        <w:t>,</w:t>
      </w:r>
      <w:r w:rsidR="00187BE3" w:rsidRPr="00A73B07">
        <w:rPr>
          <w:rFonts w:eastAsiaTheme="minorHAnsi"/>
          <w:sz w:val="20"/>
          <w:szCs w:val="20"/>
          <w:lang w:val="en-US" w:eastAsia="en-US"/>
        </w:rPr>
        <w:t xml:space="preserve"> C.,</w:t>
      </w:r>
      <w:r w:rsidR="007E1A3E" w:rsidRPr="00A73B07">
        <w:rPr>
          <w:rFonts w:eastAsiaTheme="minorHAnsi"/>
          <w:sz w:val="20"/>
          <w:szCs w:val="20"/>
          <w:lang w:val="en-US" w:eastAsia="en-US"/>
        </w:rPr>
        <w:t xml:space="preserve"> </w:t>
      </w:r>
      <w:r w:rsidR="007E1A3E" w:rsidRPr="00A73B07">
        <w:rPr>
          <w:rFonts w:eastAsiaTheme="minorHAnsi"/>
          <w:i/>
          <w:iCs/>
          <w:sz w:val="20"/>
          <w:szCs w:val="20"/>
          <w:lang w:val="en-US" w:eastAsia="en-US"/>
        </w:rPr>
        <w:t>Populism and Constitutionalism: Theory and Practice</w:t>
      </w:r>
      <w:r w:rsidR="007E1A3E" w:rsidRPr="00A73B07">
        <w:rPr>
          <w:rFonts w:eastAsiaTheme="minorHAnsi"/>
          <w:sz w:val="20"/>
          <w:szCs w:val="20"/>
          <w:lang w:val="en-US" w:eastAsia="en-US"/>
        </w:rPr>
        <w:t>, in</w:t>
      </w:r>
      <w:r w:rsidR="00187BE3" w:rsidRPr="00A73B07">
        <w:rPr>
          <w:rFonts w:eastAsiaTheme="minorHAnsi"/>
          <w:sz w:val="20"/>
          <w:szCs w:val="20"/>
          <w:lang w:val="en-US" w:eastAsia="en-US"/>
        </w:rPr>
        <w:t>:</w:t>
      </w:r>
      <w:r w:rsidR="007E1A3E" w:rsidRPr="00A73B07">
        <w:rPr>
          <w:rFonts w:eastAsiaTheme="minorHAnsi"/>
          <w:sz w:val="20"/>
          <w:szCs w:val="20"/>
          <w:lang w:val="en-US" w:eastAsia="en-US"/>
        </w:rPr>
        <w:t xml:space="preserve"> </w:t>
      </w:r>
      <w:proofErr w:type="spellStart"/>
      <w:r w:rsidR="007E1A3E" w:rsidRPr="00A73B07">
        <w:rPr>
          <w:rFonts w:eastAsiaTheme="minorHAnsi"/>
          <w:sz w:val="20"/>
          <w:szCs w:val="20"/>
          <w:lang w:val="en-US" w:eastAsia="en-US"/>
        </w:rPr>
        <w:t>Holtug</w:t>
      </w:r>
      <w:proofErr w:type="spellEnd"/>
      <w:r w:rsidR="00187BE3" w:rsidRPr="00A73B07">
        <w:rPr>
          <w:rFonts w:eastAsiaTheme="minorHAnsi"/>
          <w:sz w:val="20"/>
          <w:szCs w:val="20"/>
          <w:lang w:val="en-US" w:eastAsia="en-US"/>
        </w:rPr>
        <w:t>, N;</w:t>
      </w:r>
      <w:r w:rsidR="007E1A3E" w:rsidRPr="00A73B07">
        <w:rPr>
          <w:rFonts w:eastAsiaTheme="minorHAnsi"/>
          <w:sz w:val="20"/>
          <w:szCs w:val="20"/>
          <w:lang w:val="en-US" w:eastAsia="en-US"/>
        </w:rPr>
        <w:t xml:space="preserve"> </w:t>
      </w:r>
      <w:proofErr w:type="spellStart"/>
      <w:r w:rsidR="007E1A3E" w:rsidRPr="00A73B07">
        <w:rPr>
          <w:rFonts w:eastAsiaTheme="minorHAnsi"/>
          <w:sz w:val="20"/>
          <w:szCs w:val="20"/>
          <w:lang w:val="en-US" w:eastAsia="en-US"/>
        </w:rPr>
        <w:t>Uslaner</w:t>
      </w:r>
      <w:proofErr w:type="spellEnd"/>
      <w:r w:rsidR="007E1A3E" w:rsidRPr="00A73B07">
        <w:rPr>
          <w:rFonts w:eastAsiaTheme="minorHAnsi"/>
          <w:sz w:val="20"/>
          <w:szCs w:val="20"/>
          <w:lang w:val="en-US" w:eastAsia="en-US"/>
        </w:rPr>
        <w:t>,</w:t>
      </w:r>
      <w:r w:rsidR="00187BE3" w:rsidRPr="00A73B07">
        <w:rPr>
          <w:rFonts w:eastAsiaTheme="minorHAnsi"/>
          <w:sz w:val="20"/>
          <w:szCs w:val="20"/>
          <w:lang w:val="en-US" w:eastAsia="en-US"/>
        </w:rPr>
        <w:t xml:space="preserve"> E.M.,(eds.),</w:t>
      </w:r>
      <w:r w:rsidR="007E1A3E" w:rsidRPr="00A73B07">
        <w:rPr>
          <w:rFonts w:eastAsiaTheme="minorHAnsi"/>
          <w:i/>
          <w:iCs/>
          <w:sz w:val="20"/>
          <w:szCs w:val="20"/>
          <w:lang w:val="en-US" w:eastAsia="en-US"/>
        </w:rPr>
        <w:t>National</w:t>
      </w:r>
      <w:r w:rsidR="00187BE3" w:rsidRPr="00A73B07">
        <w:rPr>
          <w:rFonts w:eastAsiaTheme="minorHAnsi"/>
          <w:i/>
          <w:iCs/>
          <w:sz w:val="20"/>
          <w:szCs w:val="20"/>
          <w:lang w:val="en-US" w:eastAsia="en-US"/>
        </w:rPr>
        <w:t xml:space="preserve"> </w:t>
      </w:r>
      <w:r w:rsidR="007E1A3E" w:rsidRPr="00A73B07">
        <w:rPr>
          <w:rFonts w:eastAsiaTheme="minorHAnsi"/>
          <w:i/>
          <w:iCs/>
          <w:sz w:val="20"/>
          <w:szCs w:val="20"/>
          <w:lang w:val="en-US" w:eastAsia="en-US"/>
        </w:rPr>
        <w:t>Identity and Social Cohesion</w:t>
      </w:r>
      <w:r w:rsidR="007E1A3E" w:rsidRPr="00A73B07">
        <w:rPr>
          <w:rFonts w:eastAsiaTheme="minorHAnsi"/>
          <w:sz w:val="20"/>
          <w:szCs w:val="20"/>
          <w:lang w:val="en-US" w:eastAsia="en-US"/>
        </w:rPr>
        <w:t xml:space="preserve">, </w:t>
      </w:r>
      <w:r w:rsidR="00187BE3" w:rsidRPr="00A73B07">
        <w:rPr>
          <w:spacing w:val="5"/>
          <w:sz w:val="20"/>
          <w:szCs w:val="20"/>
          <w:shd w:val="clear" w:color="auto" w:fill="FFFFFF"/>
        </w:rPr>
        <w:t>Rowman &amp; Littlefield Publishers, </w:t>
      </w:r>
      <w:r w:rsidR="007E1A3E" w:rsidRPr="00A73B07">
        <w:rPr>
          <w:rFonts w:eastAsiaTheme="minorHAnsi"/>
          <w:sz w:val="20"/>
          <w:szCs w:val="20"/>
          <w:lang w:val="en-US" w:eastAsia="en-US"/>
        </w:rPr>
        <w:t>London</w:t>
      </w:r>
      <w:r w:rsidR="00187BE3" w:rsidRPr="00A73B07">
        <w:rPr>
          <w:rFonts w:eastAsiaTheme="minorHAnsi"/>
          <w:sz w:val="20"/>
          <w:szCs w:val="20"/>
          <w:lang w:val="en-US" w:eastAsia="en-US"/>
        </w:rPr>
        <w:t>,</w:t>
      </w:r>
      <w:r w:rsidR="007E1A3E" w:rsidRPr="00A73B07">
        <w:rPr>
          <w:rFonts w:eastAsiaTheme="minorHAnsi"/>
          <w:sz w:val="20"/>
          <w:szCs w:val="20"/>
          <w:lang w:val="en-US" w:eastAsia="en-US"/>
        </w:rPr>
        <w:t>2021,pp.</w:t>
      </w:r>
      <w:r w:rsidR="008641B4" w:rsidRPr="00A73B07">
        <w:rPr>
          <w:rFonts w:eastAsiaTheme="minorHAnsi"/>
          <w:sz w:val="20"/>
          <w:szCs w:val="20"/>
          <w:lang w:val="en-US" w:eastAsia="en-US"/>
        </w:rPr>
        <w:t>221-2</w:t>
      </w:r>
      <w:r w:rsidR="00187BE3" w:rsidRPr="00A73B07">
        <w:rPr>
          <w:rFonts w:eastAsiaTheme="minorHAnsi"/>
          <w:sz w:val="20"/>
          <w:szCs w:val="20"/>
          <w:lang w:val="en-US" w:eastAsia="en-US"/>
        </w:rPr>
        <w:t>39;</w:t>
      </w:r>
      <w:r w:rsidR="008641B4" w:rsidRPr="00A73B07">
        <w:rPr>
          <w:rFonts w:eastAsiaTheme="minorHAnsi"/>
          <w:sz w:val="20"/>
          <w:szCs w:val="20"/>
          <w:lang w:val="en-US" w:eastAsia="en-US"/>
        </w:rPr>
        <w:t xml:space="preserve"> </w:t>
      </w:r>
      <w:proofErr w:type="spellStart"/>
      <w:r w:rsidR="007E1A3E" w:rsidRPr="00A73B07">
        <w:rPr>
          <w:rFonts w:eastAsiaTheme="minorHAnsi"/>
          <w:sz w:val="20"/>
          <w:szCs w:val="20"/>
          <w:lang w:val="en-US" w:eastAsia="en-US"/>
        </w:rPr>
        <w:t>Müller</w:t>
      </w:r>
      <w:proofErr w:type="spellEnd"/>
      <w:r w:rsidR="007E1A3E" w:rsidRPr="00A73B07">
        <w:rPr>
          <w:rFonts w:eastAsiaTheme="minorHAnsi"/>
          <w:sz w:val="20"/>
          <w:szCs w:val="20"/>
          <w:lang w:val="en-US" w:eastAsia="en-US"/>
        </w:rPr>
        <w:t>,</w:t>
      </w:r>
      <w:r w:rsidR="00187BE3" w:rsidRPr="00A73B07">
        <w:rPr>
          <w:rFonts w:eastAsiaTheme="minorHAnsi"/>
          <w:sz w:val="20"/>
          <w:szCs w:val="20"/>
          <w:lang w:val="en-US" w:eastAsia="en-US"/>
        </w:rPr>
        <w:t xml:space="preserve"> J.W., </w:t>
      </w:r>
      <w:r w:rsidR="007E1A3E" w:rsidRPr="00A73B07">
        <w:rPr>
          <w:rFonts w:eastAsiaTheme="minorHAnsi"/>
          <w:i/>
          <w:iCs/>
          <w:sz w:val="20"/>
          <w:szCs w:val="20"/>
          <w:lang w:val="en-US" w:eastAsia="en-US"/>
        </w:rPr>
        <w:t>What is Populism?</w:t>
      </w:r>
      <w:r w:rsidR="007E1A3E" w:rsidRPr="00A73B07">
        <w:rPr>
          <w:rFonts w:eastAsiaTheme="minorHAnsi"/>
          <w:sz w:val="20"/>
          <w:szCs w:val="20"/>
          <w:lang w:val="en-US" w:eastAsia="en-US"/>
        </w:rPr>
        <w:t xml:space="preserve">, University of Pennsylvania Press, Philadelphia, 2016; </w:t>
      </w:r>
      <w:proofErr w:type="spellStart"/>
      <w:r w:rsidRPr="00A73B07">
        <w:rPr>
          <w:rFonts w:eastAsiaTheme="minorHAnsi"/>
          <w:sz w:val="20"/>
          <w:szCs w:val="20"/>
          <w:lang w:val="en-US" w:eastAsia="en-US"/>
        </w:rPr>
        <w:t>Mudde</w:t>
      </w:r>
      <w:proofErr w:type="spellEnd"/>
      <w:r w:rsidRPr="00A73B07">
        <w:rPr>
          <w:rFonts w:eastAsiaTheme="minorHAnsi"/>
          <w:sz w:val="20"/>
          <w:szCs w:val="20"/>
          <w:lang w:val="en-US" w:eastAsia="en-US"/>
        </w:rPr>
        <w:t xml:space="preserve">, </w:t>
      </w:r>
      <w:r w:rsidR="00187BE3" w:rsidRPr="00A73B07">
        <w:rPr>
          <w:rFonts w:eastAsiaTheme="minorHAnsi"/>
          <w:sz w:val="20"/>
          <w:szCs w:val="20"/>
          <w:lang w:val="en-US" w:eastAsia="en-US"/>
        </w:rPr>
        <w:t xml:space="preserve">C., </w:t>
      </w:r>
      <w:r w:rsidRPr="00A73B07">
        <w:rPr>
          <w:rFonts w:eastAsiaTheme="minorHAnsi"/>
          <w:i/>
          <w:iCs/>
          <w:sz w:val="20"/>
          <w:szCs w:val="20"/>
          <w:lang w:val="en-US" w:eastAsia="en-US"/>
        </w:rPr>
        <w:t>Populism: An Ideational Approach</w:t>
      </w:r>
      <w:r w:rsidRPr="00A73B07">
        <w:rPr>
          <w:rFonts w:eastAsiaTheme="minorHAnsi"/>
          <w:sz w:val="20"/>
          <w:szCs w:val="20"/>
          <w:lang w:val="en-US" w:eastAsia="en-US"/>
        </w:rPr>
        <w:t>, in</w:t>
      </w:r>
      <w:r w:rsidR="00187BE3" w:rsidRPr="00A73B07">
        <w:rPr>
          <w:rFonts w:eastAsiaTheme="minorHAnsi"/>
          <w:sz w:val="20"/>
          <w:szCs w:val="20"/>
          <w:lang w:val="en-US" w:eastAsia="en-US"/>
        </w:rPr>
        <w:t>:</w:t>
      </w:r>
      <w:r w:rsidRPr="00A73B07">
        <w:rPr>
          <w:rFonts w:eastAsiaTheme="minorHAnsi"/>
          <w:sz w:val="20"/>
          <w:szCs w:val="20"/>
          <w:lang w:val="en-US" w:eastAsia="en-US"/>
        </w:rPr>
        <w:t xml:space="preserve"> </w:t>
      </w:r>
      <w:proofErr w:type="spellStart"/>
      <w:r w:rsidRPr="00A73B07">
        <w:rPr>
          <w:rFonts w:eastAsiaTheme="minorHAnsi"/>
          <w:sz w:val="20"/>
          <w:szCs w:val="20"/>
          <w:lang w:val="en-US" w:eastAsia="en-US"/>
        </w:rPr>
        <w:t>Kaltwasser</w:t>
      </w:r>
      <w:proofErr w:type="spellEnd"/>
      <w:r w:rsidR="00187BE3" w:rsidRPr="00A73B07">
        <w:rPr>
          <w:rFonts w:eastAsiaTheme="minorHAnsi"/>
          <w:sz w:val="20"/>
          <w:szCs w:val="20"/>
          <w:lang w:val="en-US" w:eastAsia="en-US"/>
        </w:rPr>
        <w:t xml:space="preserve">, C.R., </w:t>
      </w:r>
      <w:r w:rsidRPr="00A73B07">
        <w:rPr>
          <w:rFonts w:eastAsiaTheme="minorHAnsi"/>
          <w:i/>
          <w:iCs/>
          <w:sz w:val="20"/>
          <w:szCs w:val="20"/>
          <w:lang w:val="en-US" w:eastAsia="en-US"/>
        </w:rPr>
        <w:t>et al</w:t>
      </w:r>
      <w:r w:rsidRPr="00A73B07">
        <w:rPr>
          <w:rFonts w:eastAsiaTheme="minorHAnsi"/>
          <w:sz w:val="20"/>
          <w:szCs w:val="20"/>
          <w:lang w:val="en-US" w:eastAsia="en-US"/>
        </w:rPr>
        <w:t>. (</w:t>
      </w:r>
      <w:r w:rsidR="00187BE3" w:rsidRPr="00A73B07">
        <w:rPr>
          <w:rFonts w:eastAsiaTheme="minorHAnsi"/>
          <w:sz w:val="20"/>
          <w:szCs w:val="20"/>
          <w:lang w:val="en-US" w:eastAsia="en-US"/>
        </w:rPr>
        <w:t>e</w:t>
      </w:r>
      <w:r w:rsidRPr="00A73B07">
        <w:rPr>
          <w:rFonts w:eastAsiaTheme="minorHAnsi"/>
          <w:sz w:val="20"/>
          <w:szCs w:val="20"/>
          <w:lang w:val="en-US" w:eastAsia="en-US"/>
        </w:rPr>
        <w:t>ds.),</w:t>
      </w:r>
      <w:r w:rsidRPr="00A73B07">
        <w:rPr>
          <w:rFonts w:eastAsiaTheme="minorHAnsi"/>
          <w:i/>
          <w:iCs/>
          <w:sz w:val="20"/>
          <w:szCs w:val="20"/>
          <w:lang w:val="en-US" w:eastAsia="en-US"/>
        </w:rPr>
        <w:t>The Oxford Handbook of</w:t>
      </w:r>
      <w:r w:rsidR="007E1A3E" w:rsidRPr="00A73B07">
        <w:rPr>
          <w:rFonts w:eastAsiaTheme="minorHAnsi"/>
          <w:i/>
          <w:iCs/>
          <w:sz w:val="20"/>
          <w:szCs w:val="20"/>
          <w:lang w:val="en-US" w:eastAsia="en-US"/>
        </w:rPr>
        <w:t xml:space="preserve"> </w:t>
      </w:r>
      <w:r w:rsidRPr="00A73B07">
        <w:rPr>
          <w:rFonts w:eastAsiaTheme="minorHAnsi"/>
          <w:i/>
          <w:iCs/>
          <w:sz w:val="20"/>
          <w:szCs w:val="20"/>
          <w:lang w:val="en-US" w:eastAsia="en-US"/>
        </w:rPr>
        <w:t>Populism</w:t>
      </w:r>
      <w:r w:rsidRPr="00A73B07">
        <w:rPr>
          <w:rFonts w:eastAsiaTheme="minorHAnsi"/>
          <w:sz w:val="20"/>
          <w:szCs w:val="20"/>
          <w:lang w:val="en-US" w:eastAsia="en-US"/>
        </w:rPr>
        <w:t>, Oxford University Press, Oxford, 2017</w:t>
      </w:r>
      <w:r w:rsidR="007418D0" w:rsidRPr="00A73B07">
        <w:rPr>
          <w:rFonts w:eastAsiaTheme="minorHAnsi"/>
          <w:sz w:val="20"/>
          <w:szCs w:val="20"/>
          <w:lang w:val="en-US" w:eastAsia="en-US"/>
        </w:rPr>
        <w:t>,pp.1-26</w:t>
      </w:r>
      <w:r w:rsidRPr="00A73B07">
        <w:rPr>
          <w:rFonts w:eastAsiaTheme="minorHAnsi"/>
          <w:sz w:val="20"/>
          <w:szCs w:val="20"/>
          <w:lang w:val="en-US" w:eastAsia="en-US"/>
        </w:rPr>
        <w:t xml:space="preserve">; </w:t>
      </w:r>
      <w:proofErr w:type="spellStart"/>
      <w:r w:rsidRPr="00A73B07">
        <w:rPr>
          <w:rFonts w:eastAsiaTheme="minorHAnsi"/>
          <w:sz w:val="20"/>
          <w:szCs w:val="20"/>
          <w:lang w:val="en-US" w:eastAsia="en-US"/>
        </w:rPr>
        <w:t>Urbinati</w:t>
      </w:r>
      <w:proofErr w:type="spellEnd"/>
      <w:r w:rsidRPr="00A73B07">
        <w:rPr>
          <w:rFonts w:eastAsiaTheme="minorHAnsi"/>
          <w:sz w:val="20"/>
          <w:szCs w:val="20"/>
          <w:lang w:val="en-US" w:eastAsia="en-US"/>
        </w:rPr>
        <w:t>,</w:t>
      </w:r>
      <w:r w:rsidR="007418D0" w:rsidRPr="00A73B07">
        <w:rPr>
          <w:rFonts w:eastAsiaTheme="minorHAnsi"/>
          <w:sz w:val="20"/>
          <w:szCs w:val="20"/>
          <w:lang w:val="en-US" w:eastAsia="en-US"/>
        </w:rPr>
        <w:t xml:space="preserve"> N.,</w:t>
      </w:r>
      <w:r w:rsidR="007418D0" w:rsidRPr="00A73B07">
        <w:rPr>
          <w:rFonts w:eastAsiaTheme="minorHAnsi"/>
          <w:i/>
          <w:iCs/>
          <w:sz w:val="20"/>
          <w:szCs w:val="20"/>
          <w:lang w:val="en-US" w:eastAsia="en-US"/>
        </w:rPr>
        <w:t xml:space="preserve"> Me The People: How Populism Transforms Democracy,</w:t>
      </w:r>
      <w:r w:rsidR="00A73B07" w:rsidRPr="00A73B07">
        <w:rPr>
          <w:rFonts w:eastAsiaTheme="minorHAnsi"/>
          <w:i/>
          <w:iCs/>
          <w:sz w:val="20"/>
          <w:szCs w:val="20"/>
          <w:lang w:val="en-US" w:eastAsia="en-US"/>
        </w:rPr>
        <w:t xml:space="preserve"> </w:t>
      </w:r>
      <w:r w:rsidR="00A73B07" w:rsidRPr="00A73B07">
        <w:rPr>
          <w:rFonts w:eastAsiaTheme="minorHAnsi"/>
          <w:sz w:val="20"/>
          <w:szCs w:val="20"/>
          <w:lang w:val="en-US" w:eastAsia="en-US"/>
        </w:rPr>
        <w:t>Harvard</w:t>
      </w:r>
      <w:r w:rsidR="007418D0" w:rsidRPr="00A73B07">
        <w:rPr>
          <w:rFonts w:eastAsiaTheme="minorHAnsi"/>
          <w:sz w:val="20"/>
          <w:szCs w:val="20"/>
          <w:lang w:val="en-US" w:eastAsia="en-US"/>
        </w:rPr>
        <w:t xml:space="preserve"> </w:t>
      </w:r>
      <w:r w:rsidR="00A73B07" w:rsidRPr="00A73B07">
        <w:rPr>
          <w:rFonts w:eastAsiaTheme="minorHAnsi"/>
          <w:sz w:val="20"/>
          <w:szCs w:val="20"/>
          <w:lang w:val="en-US" w:eastAsia="en-US"/>
        </w:rPr>
        <w:t>U</w:t>
      </w:r>
      <w:r w:rsidR="007418D0" w:rsidRPr="00A73B07">
        <w:rPr>
          <w:rFonts w:eastAsiaTheme="minorHAnsi"/>
          <w:sz w:val="20"/>
          <w:szCs w:val="20"/>
          <w:lang w:val="en-US" w:eastAsia="en-US"/>
        </w:rPr>
        <w:t xml:space="preserve">niversity </w:t>
      </w:r>
      <w:r w:rsidR="00A73B07" w:rsidRPr="00A73B07">
        <w:rPr>
          <w:rFonts w:eastAsiaTheme="minorHAnsi"/>
          <w:sz w:val="20"/>
          <w:szCs w:val="20"/>
          <w:lang w:val="en-US" w:eastAsia="en-US"/>
        </w:rPr>
        <w:t>Press</w:t>
      </w:r>
      <w:r w:rsidR="007418D0" w:rsidRPr="00A73B07">
        <w:rPr>
          <w:rFonts w:eastAsiaTheme="minorHAnsi"/>
          <w:sz w:val="20"/>
          <w:szCs w:val="20"/>
          <w:lang w:val="en-US" w:eastAsia="en-US"/>
        </w:rPr>
        <w:t xml:space="preserve">, </w:t>
      </w:r>
      <w:r w:rsidR="00A73B07" w:rsidRPr="00A73B07">
        <w:rPr>
          <w:color w:val="000000"/>
          <w:spacing w:val="-5"/>
          <w:sz w:val="20"/>
          <w:szCs w:val="20"/>
          <w:shd w:val="clear" w:color="auto" w:fill="FFFFFF"/>
        </w:rPr>
        <w:t>Cambridge,Massachusetts;London,England</w:t>
      </w:r>
      <w:r w:rsidR="00A73B07" w:rsidRPr="00A73B07">
        <w:rPr>
          <w:color w:val="000000"/>
          <w:spacing w:val="-5"/>
          <w:sz w:val="20"/>
          <w:szCs w:val="20"/>
          <w:shd w:val="clear" w:color="auto" w:fill="FFFFFF"/>
          <w:lang w:val="en-US"/>
        </w:rPr>
        <w:t>,</w:t>
      </w:r>
      <w:r w:rsidR="00A73B07" w:rsidRPr="00A73B07">
        <w:rPr>
          <w:rFonts w:eastAsiaTheme="minorHAnsi"/>
          <w:sz w:val="20"/>
          <w:szCs w:val="20"/>
          <w:lang w:val="en-US" w:eastAsia="en-US"/>
        </w:rPr>
        <w:t>2019</w:t>
      </w:r>
      <w:r w:rsidR="007E1A3E" w:rsidRPr="00A73B07">
        <w:rPr>
          <w:rFonts w:eastAsiaTheme="minorHAnsi"/>
          <w:sz w:val="20"/>
          <w:szCs w:val="20"/>
          <w:lang w:val="en-US" w:eastAsia="en-US"/>
        </w:rPr>
        <w:t>;</w:t>
      </w:r>
      <w:r w:rsidRPr="00A73B07">
        <w:rPr>
          <w:sz w:val="20"/>
          <w:szCs w:val="20"/>
          <w:lang w:val="en-US"/>
        </w:rPr>
        <w:t>Beširević</w:t>
      </w:r>
      <w:r w:rsidR="00A73B07" w:rsidRPr="00A73B07">
        <w:rPr>
          <w:sz w:val="20"/>
          <w:szCs w:val="20"/>
          <w:lang w:val="en-US"/>
        </w:rPr>
        <w:t>,V.,</w:t>
      </w:r>
      <w:r w:rsidRPr="00A73B07">
        <w:rPr>
          <w:sz w:val="20"/>
          <w:szCs w:val="20"/>
          <w:lang w:val="en-US"/>
        </w:rPr>
        <w:t>(ed</w:t>
      </w:r>
      <w:r w:rsidR="00A73B07" w:rsidRPr="00A73B07">
        <w:rPr>
          <w:sz w:val="20"/>
          <w:szCs w:val="20"/>
          <w:lang w:val="en-US"/>
        </w:rPr>
        <w:t>.</w:t>
      </w:r>
      <w:r w:rsidRPr="00A73B07">
        <w:rPr>
          <w:sz w:val="20"/>
          <w:szCs w:val="20"/>
          <w:lang w:val="en-US"/>
        </w:rPr>
        <w:t>)</w:t>
      </w:r>
      <w:r w:rsidR="002D3DA4">
        <w:rPr>
          <w:sz w:val="20"/>
          <w:szCs w:val="20"/>
          <w:lang w:val="en-US"/>
        </w:rPr>
        <w:t>,</w:t>
      </w:r>
      <w:r w:rsidR="00DB02FB">
        <w:rPr>
          <w:sz w:val="20"/>
          <w:szCs w:val="20"/>
          <w:lang w:val="en-US"/>
        </w:rPr>
        <w:t xml:space="preserve"> </w:t>
      </w:r>
      <w:r w:rsidRPr="00A73B07">
        <w:rPr>
          <w:i/>
          <w:iCs/>
          <w:sz w:val="20"/>
          <w:szCs w:val="20"/>
          <w:lang w:val="en-US"/>
        </w:rPr>
        <w:t>New Politics of Decisionism</w:t>
      </w:r>
      <w:r w:rsidRPr="00A73B07">
        <w:rPr>
          <w:sz w:val="20"/>
          <w:szCs w:val="20"/>
          <w:lang w:val="en-US"/>
        </w:rPr>
        <w:t>,</w:t>
      </w:r>
      <w:r w:rsidR="00DB02FB">
        <w:rPr>
          <w:sz w:val="20"/>
          <w:szCs w:val="20"/>
          <w:lang w:val="en-US"/>
        </w:rPr>
        <w:t xml:space="preserve"> </w:t>
      </w:r>
      <w:r w:rsidRPr="00A73B07">
        <w:rPr>
          <w:sz w:val="20"/>
          <w:szCs w:val="20"/>
          <w:lang w:val="en-US"/>
        </w:rPr>
        <w:t xml:space="preserve">Eleven International Publishing, </w:t>
      </w:r>
      <w:r w:rsidR="00A73B07" w:rsidRPr="00A73B07">
        <w:rPr>
          <w:sz w:val="20"/>
          <w:szCs w:val="20"/>
          <w:lang w:val="en-US"/>
        </w:rPr>
        <w:t xml:space="preserve">The Hague, </w:t>
      </w:r>
      <w:r w:rsidRPr="00A73B07">
        <w:rPr>
          <w:sz w:val="20"/>
          <w:szCs w:val="20"/>
          <w:lang w:val="en-US"/>
        </w:rPr>
        <w:t xml:space="preserve">2019. </w:t>
      </w:r>
    </w:p>
  </w:footnote>
  <w:footnote w:id="4">
    <w:p w14:paraId="13B9A87E" w14:textId="69961F54" w:rsidR="00FF7E59" w:rsidRDefault="00FF7E59">
      <w:pPr>
        <w:pStyle w:val="FootnoteText"/>
      </w:pPr>
      <w:r>
        <w:rPr>
          <w:rStyle w:val="FootnoteReference"/>
        </w:rPr>
        <w:footnoteRef/>
      </w:r>
      <w:r>
        <w:t xml:space="preserve"> </w:t>
      </w:r>
      <w:r w:rsidRPr="00A73B07">
        <w:rPr>
          <w:rFonts w:cs="Stone Serif ITC"/>
          <w:color w:val="000000"/>
        </w:rPr>
        <w:t>Müller,</w:t>
      </w:r>
      <w:r>
        <w:rPr>
          <w:rFonts w:cs="Stone Serif ITC"/>
          <w:color w:val="000000"/>
        </w:rPr>
        <w:t xml:space="preserve"> J.W., </w:t>
      </w:r>
      <w:r w:rsidRPr="00A73B07">
        <w:rPr>
          <w:rFonts w:cs="Stone Serif ITC"/>
          <w:i/>
          <w:iCs/>
          <w:color w:val="000000"/>
        </w:rPr>
        <w:t>Militant Democracy</w:t>
      </w:r>
      <w:r w:rsidRPr="00A73B07">
        <w:rPr>
          <w:rFonts w:cs="Stone Serif ITC"/>
          <w:color w:val="000000"/>
        </w:rPr>
        <w:t>,</w:t>
      </w:r>
      <w:r>
        <w:rPr>
          <w:rFonts w:cs="Stone Serif ITC"/>
          <w:color w:val="000000"/>
        </w:rPr>
        <w:t xml:space="preserve"> </w:t>
      </w:r>
      <w:r w:rsidRPr="00FF7E59">
        <w:rPr>
          <w:rFonts w:cs="Stone Serif ITC"/>
          <w:i/>
          <w:iCs/>
          <w:color w:val="000000"/>
        </w:rPr>
        <w:t>op. cit.</w:t>
      </w:r>
      <w:r>
        <w:rPr>
          <w:rFonts w:cs="Stone Serif ITC"/>
          <w:color w:val="000000"/>
        </w:rPr>
        <w:t xml:space="preserve"> (fn.1), p.1253.</w:t>
      </w:r>
    </w:p>
  </w:footnote>
  <w:footnote w:id="5">
    <w:p w14:paraId="7D104E05" w14:textId="0BADD34A" w:rsidR="007B4BE2" w:rsidRDefault="007B4BE2" w:rsidP="007B4BE2">
      <w:pPr>
        <w:pStyle w:val="FootnoteText"/>
        <w:jc w:val="both"/>
      </w:pPr>
      <w:r>
        <w:rPr>
          <w:rStyle w:val="FootnoteReference"/>
        </w:rPr>
        <w:footnoteRef/>
      </w:r>
      <w:r>
        <w:t xml:space="preserve"> </w:t>
      </w:r>
      <w:proofErr w:type="spellStart"/>
      <w:r w:rsidRPr="007B4BE2">
        <w:rPr>
          <w:rFonts w:cs="Stone Serif ITC"/>
          <w:color w:val="000000"/>
        </w:rPr>
        <w:t>Sajó</w:t>
      </w:r>
      <w:proofErr w:type="spellEnd"/>
      <w:r w:rsidRPr="007B4BE2">
        <w:rPr>
          <w:rFonts w:cs="Stone Serif ITC"/>
          <w:color w:val="000000"/>
        </w:rPr>
        <w:t xml:space="preserve">, </w:t>
      </w:r>
      <w:r>
        <w:rPr>
          <w:rFonts w:cs="Stone Serif ITC"/>
          <w:color w:val="000000"/>
        </w:rPr>
        <w:t xml:space="preserve">A., </w:t>
      </w:r>
      <w:r w:rsidRPr="007B4BE2">
        <w:rPr>
          <w:rFonts w:cs="Stone Serif ITC"/>
          <w:i/>
          <w:iCs/>
          <w:color w:val="000000"/>
        </w:rPr>
        <w:t>Militant Democracy and Transition towards Democracy</w:t>
      </w:r>
      <w:r w:rsidRPr="007B4BE2">
        <w:rPr>
          <w:rFonts w:cs="Stone Serif ITC"/>
          <w:color w:val="000000"/>
        </w:rPr>
        <w:t xml:space="preserve">, in: </w:t>
      </w:r>
      <w:proofErr w:type="spellStart"/>
      <w:r w:rsidRPr="007B4BE2">
        <w:rPr>
          <w:rFonts w:cs="Stone Serif ITC"/>
          <w:color w:val="000000"/>
        </w:rPr>
        <w:t>Sajó</w:t>
      </w:r>
      <w:proofErr w:type="spellEnd"/>
      <w:r w:rsidRPr="007B4BE2">
        <w:rPr>
          <w:rFonts w:cs="Stone Serif ITC"/>
          <w:color w:val="000000"/>
        </w:rPr>
        <w:t>,</w:t>
      </w:r>
      <w:r>
        <w:rPr>
          <w:rFonts w:cs="Stone Serif ITC"/>
          <w:color w:val="000000"/>
        </w:rPr>
        <w:t xml:space="preserve"> A.</w:t>
      </w:r>
      <w:r w:rsidRPr="007B4BE2">
        <w:rPr>
          <w:rFonts w:cs="Stone Serif ITC"/>
          <w:color w:val="000000"/>
        </w:rPr>
        <w:t xml:space="preserve"> (ed.), </w:t>
      </w:r>
      <w:r w:rsidRPr="007B4BE2">
        <w:rPr>
          <w:rFonts w:cs="Stone Serif ITC"/>
          <w:i/>
          <w:iCs/>
          <w:color w:val="000000"/>
        </w:rPr>
        <w:t>Militant Democracy</w:t>
      </w:r>
      <w:r w:rsidRPr="007B4BE2">
        <w:rPr>
          <w:rFonts w:cs="Stone Serif ITC"/>
          <w:color w:val="000000"/>
        </w:rPr>
        <w:t xml:space="preserve">, </w:t>
      </w:r>
      <w:proofErr w:type="spellStart"/>
      <w:r w:rsidRPr="007B4BE2">
        <w:rPr>
          <w:rFonts w:cs="Stone Serif ITC"/>
          <w:i/>
          <w:iCs/>
          <w:color w:val="000000"/>
        </w:rPr>
        <w:t>op.cit</w:t>
      </w:r>
      <w:proofErr w:type="spellEnd"/>
      <w:r w:rsidRPr="007B4BE2">
        <w:rPr>
          <w:rFonts w:cs="Stone Serif ITC"/>
          <w:i/>
          <w:iCs/>
          <w:color w:val="000000"/>
        </w:rPr>
        <w:t>.</w:t>
      </w:r>
      <w:r w:rsidRPr="007B4BE2">
        <w:rPr>
          <w:rFonts w:cs="Stone Serif ITC"/>
          <w:color w:val="000000"/>
        </w:rPr>
        <w:t xml:space="preserve"> </w:t>
      </w:r>
      <w:r>
        <w:rPr>
          <w:rFonts w:cs="Stone Serif ITC"/>
          <w:color w:val="000000"/>
        </w:rPr>
        <w:t xml:space="preserve">(fn.1), </w:t>
      </w:r>
      <w:r w:rsidRPr="007B4BE2">
        <w:rPr>
          <w:rFonts w:cs="Stone Serif ITC"/>
          <w:color w:val="000000"/>
        </w:rPr>
        <w:t>p. 210</w:t>
      </w:r>
      <w:r>
        <w:rPr>
          <w:rFonts w:cs="Stone Serif ITC"/>
          <w:color w:val="000000"/>
        </w:rPr>
        <w:t xml:space="preserve">. </w:t>
      </w:r>
      <w:r>
        <w:rPr>
          <w:rFonts w:cs="Stone Serif ITC"/>
          <w:color w:val="000000"/>
          <w:sz w:val="15"/>
          <w:szCs w:val="15"/>
        </w:rPr>
        <w:t xml:space="preserve"> </w:t>
      </w:r>
      <w:r>
        <w:t xml:space="preserve"> </w:t>
      </w:r>
    </w:p>
  </w:footnote>
  <w:footnote w:id="6">
    <w:p w14:paraId="30A4DE64" w14:textId="71D3DB47" w:rsidR="009A6D63" w:rsidRDefault="009A6D63">
      <w:pPr>
        <w:pStyle w:val="FootnoteText"/>
      </w:pPr>
      <w:r>
        <w:rPr>
          <w:rStyle w:val="FootnoteReference"/>
        </w:rPr>
        <w:footnoteRef/>
      </w:r>
      <w:r>
        <w:t xml:space="preserve"> </w:t>
      </w:r>
      <w:proofErr w:type="spellStart"/>
      <w:r w:rsidRPr="00A73B07">
        <w:rPr>
          <w:rFonts w:eastAsiaTheme="minorHAnsi"/>
          <w:lang w:eastAsia="en-US"/>
        </w:rPr>
        <w:t>Mudde</w:t>
      </w:r>
      <w:proofErr w:type="spellEnd"/>
      <w:r w:rsidRPr="00A73B07">
        <w:rPr>
          <w:rFonts w:eastAsiaTheme="minorHAnsi"/>
          <w:lang w:eastAsia="en-US"/>
        </w:rPr>
        <w:t xml:space="preserve">, C., </w:t>
      </w:r>
      <w:r w:rsidRPr="00A73B07">
        <w:rPr>
          <w:rFonts w:eastAsiaTheme="minorHAnsi"/>
          <w:i/>
          <w:iCs/>
          <w:lang w:eastAsia="en-US"/>
        </w:rPr>
        <w:t>Populism and Constitutionalism: Theory and Practice</w:t>
      </w:r>
      <w:r w:rsidRPr="00A73B07">
        <w:rPr>
          <w:rFonts w:eastAsiaTheme="minorHAnsi"/>
          <w:lang w:eastAsia="en-US"/>
        </w:rPr>
        <w:t>,</w:t>
      </w:r>
      <w:r>
        <w:rPr>
          <w:rFonts w:eastAsiaTheme="minorHAnsi"/>
          <w:lang w:eastAsia="en-US"/>
        </w:rPr>
        <w:t xml:space="preserve"> </w:t>
      </w:r>
      <w:r w:rsidRPr="00086297">
        <w:rPr>
          <w:rFonts w:eastAsiaTheme="minorHAnsi"/>
          <w:i/>
          <w:iCs/>
          <w:lang w:eastAsia="en-US"/>
        </w:rPr>
        <w:t>op.</w:t>
      </w:r>
      <w:r>
        <w:rPr>
          <w:rFonts w:eastAsiaTheme="minorHAnsi"/>
          <w:i/>
          <w:iCs/>
          <w:lang w:eastAsia="en-US"/>
        </w:rPr>
        <w:t xml:space="preserve"> </w:t>
      </w:r>
      <w:r w:rsidRPr="00086297">
        <w:rPr>
          <w:rFonts w:eastAsiaTheme="minorHAnsi"/>
          <w:i/>
          <w:iCs/>
          <w:lang w:eastAsia="en-US"/>
        </w:rPr>
        <w:t>cit</w:t>
      </w:r>
      <w:r>
        <w:rPr>
          <w:rFonts w:eastAsiaTheme="minorHAnsi"/>
          <w:i/>
          <w:iCs/>
          <w:lang w:eastAsia="en-US"/>
        </w:rPr>
        <w:t>.</w:t>
      </w:r>
      <w:r>
        <w:rPr>
          <w:rFonts w:eastAsiaTheme="minorHAnsi"/>
          <w:lang w:eastAsia="en-US"/>
        </w:rPr>
        <w:t xml:space="preserve"> </w:t>
      </w:r>
      <w:r>
        <w:rPr>
          <w:rFonts w:cs="Stone Serif ITC"/>
          <w:color w:val="000000"/>
        </w:rPr>
        <w:t>(fn.2), p.221.</w:t>
      </w:r>
    </w:p>
  </w:footnote>
  <w:footnote w:id="7">
    <w:p w14:paraId="54A05191" w14:textId="66496A48" w:rsidR="007B4BE2" w:rsidRPr="00BD1B82" w:rsidRDefault="007B4BE2" w:rsidP="00BD1B82">
      <w:pPr>
        <w:autoSpaceDE w:val="0"/>
        <w:autoSpaceDN w:val="0"/>
        <w:adjustRightInd w:val="0"/>
        <w:jc w:val="both"/>
        <w:rPr>
          <w:rFonts w:eastAsiaTheme="minorHAnsi"/>
          <w:sz w:val="20"/>
          <w:szCs w:val="20"/>
          <w:lang w:eastAsia="en-US"/>
        </w:rPr>
      </w:pPr>
      <w:r w:rsidRPr="00BD1B82">
        <w:rPr>
          <w:rStyle w:val="FootnoteReference"/>
          <w:sz w:val="20"/>
          <w:szCs w:val="20"/>
        </w:rPr>
        <w:footnoteRef/>
      </w:r>
      <w:r w:rsidR="00BD1B82">
        <w:rPr>
          <w:sz w:val="20"/>
          <w:szCs w:val="20"/>
          <w:lang w:val="en-US"/>
        </w:rPr>
        <w:t xml:space="preserve"> </w:t>
      </w:r>
      <w:r w:rsidR="00BD1B82" w:rsidRPr="00BD1B82">
        <w:rPr>
          <w:rFonts w:eastAsiaTheme="minorHAnsi"/>
          <w:sz w:val="20"/>
          <w:szCs w:val="20"/>
          <w:lang w:eastAsia="en-US"/>
        </w:rPr>
        <w:t>Berlin,</w:t>
      </w:r>
      <w:r w:rsidR="00BD1B82">
        <w:rPr>
          <w:rFonts w:eastAsiaTheme="minorHAnsi"/>
          <w:sz w:val="20"/>
          <w:szCs w:val="20"/>
          <w:lang w:eastAsia="en-US"/>
        </w:rPr>
        <w:t xml:space="preserve"> I.,</w:t>
      </w:r>
      <w:r w:rsidR="00BD1B82" w:rsidRPr="00BD1B82">
        <w:rPr>
          <w:rFonts w:eastAsiaTheme="minorHAnsi"/>
          <w:sz w:val="20"/>
          <w:szCs w:val="20"/>
          <w:lang w:eastAsia="en-US"/>
        </w:rPr>
        <w:t xml:space="preserve"> </w:t>
      </w:r>
      <w:r w:rsidR="00BD1B82" w:rsidRPr="00BD1B82">
        <w:rPr>
          <w:rFonts w:eastAsiaTheme="minorHAnsi"/>
          <w:i/>
          <w:iCs/>
          <w:sz w:val="20"/>
          <w:szCs w:val="20"/>
          <w:lang w:eastAsia="en-US"/>
        </w:rPr>
        <w:t>To Define Populism</w:t>
      </w:r>
      <w:r w:rsidR="00BD1B82" w:rsidRPr="00BD1B82">
        <w:rPr>
          <w:rFonts w:eastAsiaTheme="minorHAnsi"/>
          <w:sz w:val="20"/>
          <w:szCs w:val="20"/>
          <w:lang w:eastAsia="en-US"/>
        </w:rPr>
        <w:t>, p.6,</w:t>
      </w:r>
      <w:r w:rsidR="00BD1B82">
        <w:rPr>
          <w:rFonts w:eastAsiaTheme="minorHAnsi"/>
          <w:sz w:val="20"/>
          <w:szCs w:val="20"/>
          <w:lang w:eastAsia="en-US"/>
        </w:rPr>
        <w:t xml:space="preserve"> </w:t>
      </w:r>
      <w:r w:rsidR="00BD1B82" w:rsidRPr="00BD1B82">
        <w:rPr>
          <w:rFonts w:eastAsiaTheme="minorHAnsi"/>
          <w:sz w:val="20"/>
          <w:szCs w:val="20"/>
          <w:lang w:eastAsia="en-US"/>
        </w:rPr>
        <w:t>para.139</w:t>
      </w:r>
      <w:r w:rsidR="00BD1B82">
        <w:rPr>
          <w:rFonts w:eastAsiaTheme="minorHAnsi"/>
          <w:sz w:val="20"/>
          <w:szCs w:val="20"/>
          <w:lang w:eastAsia="en-US"/>
        </w:rPr>
        <w:t xml:space="preserve">, </w:t>
      </w:r>
      <w:r w:rsidR="00BD1B82" w:rsidRPr="00BD1B82">
        <w:rPr>
          <w:rFonts w:eastAsiaTheme="minorHAnsi"/>
          <w:sz w:val="20"/>
          <w:szCs w:val="20"/>
          <w:lang w:eastAsia="en-US"/>
        </w:rPr>
        <w:t>http://berlin.wolf.ox.ac.uk/lists/bibliography/bib111bLSE.pdf</w:t>
      </w:r>
      <w:r w:rsidR="00BD1B82">
        <w:rPr>
          <w:rFonts w:eastAsiaTheme="minorHAnsi"/>
          <w:sz w:val="20"/>
          <w:szCs w:val="20"/>
          <w:lang w:eastAsia="en-US"/>
        </w:rPr>
        <w:t xml:space="preserve"> (28 June 2021).</w:t>
      </w:r>
    </w:p>
  </w:footnote>
  <w:footnote w:id="8">
    <w:p w14:paraId="6D280323" w14:textId="300CE046" w:rsidR="007B4BE2" w:rsidRDefault="007B4BE2" w:rsidP="00BD1B82">
      <w:pPr>
        <w:pStyle w:val="FootnoteText"/>
        <w:jc w:val="both"/>
      </w:pPr>
      <w:r w:rsidRPr="00BD1B82">
        <w:rPr>
          <w:rStyle w:val="FootnoteReference"/>
        </w:rPr>
        <w:footnoteRef/>
      </w:r>
      <w:r w:rsidRPr="00BD1B82">
        <w:t xml:space="preserve"> </w:t>
      </w:r>
      <w:proofErr w:type="spellStart"/>
      <w:r w:rsidR="00BD1B82" w:rsidRPr="00BD1B82">
        <w:rPr>
          <w:rStyle w:val="Emphasis"/>
          <w:i w:val="0"/>
          <w:iCs w:val="0"/>
          <w:shd w:val="clear" w:color="auto" w:fill="FFFFFF"/>
        </w:rPr>
        <w:t>Várady</w:t>
      </w:r>
      <w:proofErr w:type="spellEnd"/>
      <w:r w:rsidR="00BD1B82" w:rsidRPr="00BD1B82">
        <w:t xml:space="preserve">, T., </w:t>
      </w:r>
      <w:r w:rsidR="00BD1B82" w:rsidRPr="00BD1B82">
        <w:rPr>
          <w:rFonts w:eastAsiaTheme="minorHAnsi"/>
          <w:i/>
          <w:iCs/>
          <w:lang w:val="en-GB" w:eastAsia="en-US"/>
        </w:rPr>
        <w:t>Populism – A Notion Rising above Its Content</w:t>
      </w:r>
      <w:r w:rsidR="00BD1B82" w:rsidRPr="00BD1B82">
        <w:rPr>
          <w:rFonts w:eastAsiaTheme="minorHAnsi"/>
          <w:lang w:val="en-GB" w:eastAsia="en-US"/>
        </w:rPr>
        <w:t>, in:</w:t>
      </w:r>
      <w:r w:rsidR="00BD1B82" w:rsidRPr="00BD1B82">
        <w:t xml:space="preserve"> </w:t>
      </w:r>
      <w:proofErr w:type="spellStart"/>
      <w:r w:rsidR="00BD1B82" w:rsidRPr="00BD1B82">
        <w:t>Beširević,V</w:t>
      </w:r>
      <w:proofErr w:type="spellEnd"/>
      <w:r w:rsidR="00BD1B82" w:rsidRPr="00BD1B82">
        <w:t xml:space="preserve">.,(ed.), </w:t>
      </w:r>
      <w:proofErr w:type="spellStart"/>
      <w:r w:rsidR="00BD1B82" w:rsidRPr="00BD1B82">
        <w:rPr>
          <w:i/>
          <w:iCs/>
        </w:rPr>
        <w:t>op.cit</w:t>
      </w:r>
      <w:proofErr w:type="spellEnd"/>
      <w:r w:rsidR="00BD1B82" w:rsidRPr="00BD1B82">
        <w:rPr>
          <w:i/>
          <w:iCs/>
        </w:rPr>
        <w:t>.</w:t>
      </w:r>
      <w:r w:rsidR="00BD1B82" w:rsidRPr="00BD1B82">
        <w:rPr>
          <w:rFonts w:cs="Stone Serif ITC"/>
          <w:color w:val="000000"/>
        </w:rPr>
        <w:t xml:space="preserve"> (fn.2), pp. 50-51.</w:t>
      </w:r>
      <w:r w:rsidR="00BD1B82">
        <w:rPr>
          <w:rFonts w:cs="Stone Serif ITC"/>
          <w:color w:val="000000"/>
        </w:rPr>
        <w:t xml:space="preserve"> </w:t>
      </w:r>
      <w:r w:rsidR="00BD1B82">
        <w:rPr>
          <w:rFonts w:cs="Stone Serif ITC"/>
          <w:color w:val="000000"/>
          <w:sz w:val="15"/>
          <w:szCs w:val="15"/>
        </w:rPr>
        <w:t xml:space="preserve"> </w:t>
      </w:r>
      <w:r w:rsidR="00BD1B82">
        <w:t xml:space="preserve">  </w:t>
      </w:r>
    </w:p>
  </w:footnote>
  <w:footnote w:id="9">
    <w:p w14:paraId="1C7DE6EB" w14:textId="350BA9E2" w:rsidR="0009106E" w:rsidRDefault="0009106E">
      <w:pPr>
        <w:pStyle w:val="FootnoteText"/>
      </w:pPr>
      <w:r>
        <w:rPr>
          <w:rStyle w:val="FootnoteReference"/>
        </w:rPr>
        <w:footnoteRef/>
      </w:r>
      <w:r>
        <w:t xml:space="preserve"> </w:t>
      </w:r>
      <w:proofErr w:type="spellStart"/>
      <w:r w:rsidR="00086297" w:rsidRPr="00A73B07">
        <w:rPr>
          <w:rFonts w:eastAsiaTheme="minorHAnsi"/>
          <w:lang w:eastAsia="en-US"/>
        </w:rPr>
        <w:t>Mudde</w:t>
      </w:r>
      <w:proofErr w:type="spellEnd"/>
      <w:r w:rsidR="00086297" w:rsidRPr="00A73B07">
        <w:rPr>
          <w:rFonts w:eastAsiaTheme="minorHAnsi"/>
          <w:lang w:eastAsia="en-US"/>
        </w:rPr>
        <w:t xml:space="preserve">, C., </w:t>
      </w:r>
      <w:r w:rsidR="00086297" w:rsidRPr="00A73B07">
        <w:rPr>
          <w:rFonts w:eastAsiaTheme="minorHAnsi"/>
          <w:i/>
          <w:iCs/>
          <w:lang w:eastAsia="en-US"/>
        </w:rPr>
        <w:t>Populism and Constitutionalism: Theory and Practice</w:t>
      </w:r>
      <w:r w:rsidR="00086297" w:rsidRPr="00A73B07">
        <w:rPr>
          <w:rFonts w:eastAsiaTheme="minorHAnsi"/>
          <w:lang w:eastAsia="en-US"/>
        </w:rPr>
        <w:t>,</w:t>
      </w:r>
      <w:r w:rsidR="00086297">
        <w:rPr>
          <w:rFonts w:eastAsiaTheme="minorHAnsi"/>
          <w:lang w:eastAsia="en-US"/>
        </w:rPr>
        <w:t xml:space="preserve"> </w:t>
      </w:r>
      <w:r w:rsidR="00086297" w:rsidRPr="00086297">
        <w:rPr>
          <w:rFonts w:eastAsiaTheme="minorHAnsi"/>
          <w:i/>
          <w:iCs/>
          <w:lang w:eastAsia="en-US"/>
        </w:rPr>
        <w:t>op.</w:t>
      </w:r>
      <w:r w:rsidR="00086297">
        <w:rPr>
          <w:rFonts w:eastAsiaTheme="minorHAnsi"/>
          <w:i/>
          <w:iCs/>
          <w:lang w:eastAsia="en-US"/>
        </w:rPr>
        <w:t xml:space="preserve"> </w:t>
      </w:r>
      <w:r w:rsidR="00086297" w:rsidRPr="00086297">
        <w:rPr>
          <w:rFonts w:eastAsiaTheme="minorHAnsi"/>
          <w:i/>
          <w:iCs/>
          <w:lang w:eastAsia="en-US"/>
        </w:rPr>
        <w:t>cit</w:t>
      </w:r>
      <w:r w:rsidR="00086297">
        <w:rPr>
          <w:rFonts w:eastAsiaTheme="minorHAnsi"/>
          <w:i/>
          <w:iCs/>
          <w:lang w:eastAsia="en-US"/>
        </w:rPr>
        <w:t>.</w:t>
      </w:r>
      <w:r w:rsidR="00086297">
        <w:rPr>
          <w:rFonts w:eastAsiaTheme="minorHAnsi"/>
          <w:lang w:eastAsia="en-US"/>
        </w:rPr>
        <w:t xml:space="preserve"> </w:t>
      </w:r>
      <w:r w:rsidR="00086297">
        <w:rPr>
          <w:rFonts w:cs="Stone Serif ITC"/>
          <w:color w:val="000000"/>
        </w:rPr>
        <w:t xml:space="preserve">(fn.2), p.223. </w:t>
      </w:r>
    </w:p>
  </w:footnote>
  <w:footnote w:id="10">
    <w:p w14:paraId="51C86AFF" w14:textId="6C1989B5" w:rsidR="00086297" w:rsidRDefault="00086297">
      <w:pPr>
        <w:pStyle w:val="FootnoteText"/>
      </w:pPr>
      <w:r>
        <w:rPr>
          <w:rStyle w:val="FootnoteReference"/>
        </w:rPr>
        <w:footnoteRef/>
      </w:r>
      <w:r>
        <w:t xml:space="preserve"> </w:t>
      </w:r>
      <w:r w:rsidRPr="00126214">
        <w:t>Landau</w:t>
      </w:r>
      <w:r>
        <w:t xml:space="preserve">, D.; </w:t>
      </w:r>
      <w:proofErr w:type="spellStart"/>
      <w:r w:rsidRPr="00126214">
        <w:t>Dixon,</w:t>
      </w:r>
      <w:r>
        <w:t>R</w:t>
      </w:r>
      <w:proofErr w:type="spellEnd"/>
      <w:r>
        <w:t>.,</w:t>
      </w:r>
      <w:r w:rsidRPr="00126214">
        <w:t xml:space="preserve"> </w:t>
      </w:r>
      <w:r w:rsidRPr="00086297">
        <w:rPr>
          <w:i/>
          <w:iCs/>
        </w:rPr>
        <w:t>Abusive Judicial Review: Courts against Democracy</w:t>
      </w:r>
      <w:r>
        <w:t xml:space="preserve">, </w:t>
      </w:r>
      <w:r w:rsidRPr="00086297">
        <w:t>U.C. Davis Law Review,</w:t>
      </w:r>
      <w:r>
        <w:t xml:space="preserve"> vol.53, no.3, </w:t>
      </w:r>
      <w:r w:rsidRPr="008D0241">
        <w:t>2020, p.1323</w:t>
      </w:r>
      <w:r>
        <w:t>.</w:t>
      </w:r>
    </w:p>
  </w:footnote>
  <w:footnote w:id="11">
    <w:p w14:paraId="4FD7D417" w14:textId="20EEDE3B" w:rsidR="00061277" w:rsidRPr="007B2E95" w:rsidRDefault="00061277" w:rsidP="007B2E95">
      <w:pPr>
        <w:pStyle w:val="FootnoteText"/>
        <w:jc w:val="both"/>
      </w:pPr>
      <w:r>
        <w:rPr>
          <w:rStyle w:val="FootnoteReference"/>
        </w:rPr>
        <w:footnoteRef/>
      </w:r>
      <w:r>
        <w:t xml:space="preserve"> </w:t>
      </w:r>
      <w:r w:rsidR="007B2E95" w:rsidRPr="004033B1">
        <w:rPr>
          <w:rFonts w:eastAsiaTheme="minorHAnsi"/>
          <w:lang w:eastAsia="en-US"/>
        </w:rPr>
        <w:t>Ginsburg</w:t>
      </w:r>
      <w:r w:rsidR="007B2E95">
        <w:rPr>
          <w:rFonts w:eastAsiaTheme="minorHAnsi"/>
          <w:lang w:eastAsia="en-US"/>
        </w:rPr>
        <w:t>, T.;</w:t>
      </w:r>
      <w:r w:rsidR="007B2E95" w:rsidRPr="004033B1">
        <w:rPr>
          <w:rFonts w:eastAsiaTheme="minorHAnsi"/>
          <w:lang w:eastAsia="en-US"/>
        </w:rPr>
        <w:t xml:space="preserve"> Huq</w:t>
      </w:r>
      <w:r w:rsidR="007B2E95">
        <w:rPr>
          <w:rFonts w:eastAsiaTheme="minorHAnsi"/>
          <w:lang w:eastAsia="en-US"/>
        </w:rPr>
        <w:t>, A.,</w:t>
      </w:r>
      <w:r w:rsidR="007B2E95" w:rsidRPr="004033B1">
        <w:rPr>
          <w:rFonts w:eastAsiaTheme="minorHAnsi"/>
          <w:lang w:eastAsia="en-US"/>
        </w:rPr>
        <w:t xml:space="preserve"> </w:t>
      </w:r>
      <w:r w:rsidR="007B2E95" w:rsidRPr="004033B1">
        <w:rPr>
          <w:rFonts w:eastAsiaTheme="minorHAnsi"/>
          <w:i/>
          <w:iCs/>
          <w:lang w:eastAsia="en-US"/>
        </w:rPr>
        <w:t>How to Save a Constitutional Democracy</w:t>
      </w:r>
      <w:r w:rsidR="007B2E95">
        <w:rPr>
          <w:rFonts w:eastAsiaTheme="minorHAnsi"/>
          <w:lang w:eastAsia="en-US"/>
        </w:rPr>
        <w:t>,</w:t>
      </w:r>
      <w:r w:rsidR="007B2E95" w:rsidRPr="007B2E95">
        <w:rPr>
          <w:rFonts w:eastAsiaTheme="minorHAnsi"/>
          <w:sz w:val="18"/>
          <w:szCs w:val="18"/>
          <w:lang w:val="en-GB" w:eastAsia="en-US"/>
        </w:rPr>
        <w:t xml:space="preserve"> </w:t>
      </w:r>
      <w:r w:rsidR="007B2E95">
        <w:rPr>
          <w:rFonts w:eastAsiaTheme="minorHAnsi"/>
          <w:sz w:val="18"/>
          <w:szCs w:val="18"/>
          <w:lang w:val="en-GB" w:eastAsia="en-US"/>
        </w:rPr>
        <w:t>The University of Chicago Press, Chicago</w:t>
      </w:r>
      <w:r w:rsidR="000F0A04">
        <w:rPr>
          <w:rFonts w:eastAsiaTheme="minorHAnsi"/>
          <w:sz w:val="18"/>
          <w:szCs w:val="18"/>
          <w:lang w:val="en-GB" w:eastAsia="en-US"/>
        </w:rPr>
        <w:t>;</w:t>
      </w:r>
      <w:r w:rsidR="007B2E95">
        <w:rPr>
          <w:rFonts w:eastAsiaTheme="minorHAnsi"/>
          <w:sz w:val="18"/>
          <w:szCs w:val="18"/>
          <w:lang w:val="en-GB" w:eastAsia="en-US"/>
        </w:rPr>
        <w:t xml:space="preserve"> London, 2018.</w:t>
      </w:r>
    </w:p>
  </w:footnote>
  <w:footnote w:id="12">
    <w:p w14:paraId="03F3A276" w14:textId="25FAD6E5" w:rsidR="000F0A04" w:rsidRDefault="000F0A04">
      <w:pPr>
        <w:pStyle w:val="FootnoteText"/>
      </w:pPr>
      <w:r>
        <w:rPr>
          <w:rStyle w:val="FootnoteReference"/>
        </w:rPr>
        <w:footnoteRef/>
      </w:r>
      <w:r>
        <w:t xml:space="preserve"> </w:t>
      </w:r>
      <w:r w:rsidR="00FD2105" w:rsidRPr="00FD2105">
        <w:rPr>
          <w:i/>
          <w:iCs/>
        </w:rPr>
        <w:t>Ibid</w:t>
      </w:r>
      <w:r w:rsidR="00FD2105">
        <w:t>.,p.</w:t>
      </w:r>
      <w:r w:rsidR="005F62E0">
        <w:t>43.</w:t>
      </w:r>
    </w:p>
  </w:footnote>
  <w:footnote w:id="13">
    <w:p w14:paraId="18E55AFE" w14:textId="475F16CF" w:rsidR="000F0A04" w:rsidRDefault="000F0A04">
      <w:pPr>
        <w:pStyle w:val="FootnoteText"/>
      </w:pPr>
      <w:r>
        <w:rPr>
          <w:rStyle w:val="FootnoteReference"/>
        </w:rPr>
        <w:footnoteRef/>
      </w:r>
      <w:r>
        <w:t xml:space="preserve"> </w:t>
      </w:r>
      <w:r w:rsidR="00FD2105" w:rsidRPr="00FD2105">
        <w:rPr>
          <w:i/>
          <w:iCs/>
        </w:rPr>
        <w:t>Ibid</w:t>
      </w:r>
      <w:r w:rsidR="00FD2105">
        <w:t>.,</w:t>
      </w:r>
      <w:r w:rsidR="005F62E0">
        <w:t>pp.9-115.</w:t>
      </w:r>
    </w:p>
  </w:footnote>
  <w:footnote w:id="14">
    <w:p w14:paraId="07CCCD9C" w14:textId="6F63CCC5" w:rsidR="005F62E0" w:rsidRDefault="005F62E0">
      <w:pPr>
        <w:pStyle w:val="FootnoteText"/>
      </w:pPr>
      <w:r>
        <w:rPr>
          <w:rStyle w:val="FootnoteReference"/>
        </w:rPr>
        <w:footnoteRef/>
      </w:r>
      <w:r>
        <w:t xml:space="preserve"> </w:t>
      </w:r>
      <w:r w:rsidRPr="00FD2105">
        <w:rPr>
          <w:i/>
          <w:iCs/>
        </w:rPr>
        <w:t>Ibid</w:t>
      </w:r>
      <w:r>
        <w:t>.,pp.171-204.</w:t>
      </w:r>
    </w:p>
  </w:footnote>
  <w:footnote w:id="15">
    <w:p w14:paraId="30BC1BFB" w14:textId="770F93CC" w:rsidR="0045740B" w:rsidRPr="00E32025" w:rsidRDefault="0045740B" w:rsidP="0045740B">
      <w:pPr>
        <w:autoSpaceDE w:val="0"/>
        <w:autoSpaceDN w:val="0"/>
        <w:adjustRightInd w:val="0"/>
        <w:jc w:val="both"/>
        <w:rPr>
          <w:rFonts w:eastAsiaTheme="minorHAnsi"/>
          <w:sz w:val="20"/>
          <w:szCs w:val="20"/>
          <w:lang w:val="en-US" w:eastAsia="en-US"/>
        </w:rPr>
      </w:pPr>
      <w:r w:rsidRPr="0045740B">
        <w:rPr>
          <w:rStyle w:val="FootnoteReference"/>
          <w:sz w:val="20"/>
          <w:szCs w:val="20"/>
        </w:rPr>
        <w:footnoteRef/>
      </w:r>
      <w:r w:rsidRPr="0045740B">
        <w:rPr>
          <w:sz w:val="20"/>
          <w:szCs w:val="20"/>
        </w:rPr>
        <w:t xml:space="preserve"> </w:t>
      </w:r>
      <w:r w:rsidRPr="00E32025">
        <w:rPr>
          <w:sz w:val="20"/>
          <w:szCs w:val="20"/>
          <w:shd w:val="clear" w:color="auto" w:fill="FFFFFF"/>
          <w:lang w:val="en-US"/>
        </w:rPr>
        <w:t xml:space="preserve">Ginsburg, T.; Huq, A., </w:t>
      </w:r>
      <w:r w:rsidRPr="00E32025">
        <w:rPr>
          <w:rStyle w:val="Emphasis"/>
          <w:sz w:val="20"/>
          <w:szCs w:val="20"/>
          <w:bdr w:val="none" w:sz="0" w:space="0" w:color="auto" w:frame="1"/>
          <w:shd w:val="clear" w:color="auto" w:fill="FFFFFF"/>
          <w:lang w:val="en-US"/>
        </w:rPr>
        <w:t>Democratic Erosion and Militant Democracy</w:t>
      </w:r>
      <w:r w:rsidRPr="00E32025">
        <w:rPr>
          <w:sz w:val="20"/>
          <w:szCs w:val="20"/>
          <w:shd w:val="clear" w:color="auto" w:fill="FFFFFF"/>
          <w:lang w:val="en-US"/>
        </w:rPr>
        <w:t xml:space="preserve">, </w:t>
      </w:r>
      <w:r w:rsidR="00E32025" w:rsidRPr="00E32025">
        <w:rPr>
          <w:sz w:val="20"/>
          <w:szCs w:val="20"/>
          <w:shd w:val="clear" w:color="auto" w:fill="FFFFFF"/>
          <w:lang w:val="en-US"/>
        </w:rPr>
        <w:t>International</w:t>
      </w:r>
      <w:r w:rsidRPr="00E32025">
        <w:rPr>
          <w:sz w:val="20"/>
          <w:szCs w:val="20"/>
          <w:shd w:val="clear" w:color="auto" w:fill="FFFFFF"/>
          <w:lang w:val="en-US"/>
        </w:rPr>
        <w:t xml:space="preserve"> Journal of </w:t>
      </w:r>
      <w:r w:rsidR="00E32025" w:rsidRPr="00E32025">
        <w:rPr>
          <w:sz w:val="20"/>
          <w:szCs w:val="20"/>
          <w:shd w:val="clear" w:color="auto" w:fill="FFFFFF"/>
          <w:lang w:val="en-US"/>
        </w:rPr>
        <w:t>Constitutional</w:t>
      </w:r>
      <w:r w:rsidRPr="00E32025">
        <w:rPr>
          <w:sz w:val="20"/>
          <w:szCs w:val="20"/>
          <w:shd w:val="clear" w:color="auto" w:fill="FFFFFF"/>
          <w:lang w:val="en-US"/>
        </w:rPr>
        <w:t xml:space="preserve"> Law</w:t>
      </w:r>
      <w:r w:rsidR="00E32025">
        <w:rPr>
          <w:sz w:val="20"/>
          <w:szCs w:val="20"/>
          <w:shd w:val="clear" w:color="auto" w:fill="FFFFFF"/>
          <w:lang w:val="en-US"/>
        </w:rPr>
        <w:t xml:space="preserve"> </w:t>
      </w:r>
      <w:r w:rsidRPr="00E32025">
        <w:rPr>
          <w:sz w:val="20"/>
          <w:szCs w:val="20"/>
          <w:shd w:val="clear" w:color="auto" w:fill="FFFFFF"/>
          <w:lang w:val="en-US"/>
        </w:rPr>
        <w:t xml:space="preserve">Blog, </w:t>
      </w:r>
      <w:r w:rsidR="00E32025">
        <w:rPr>
          <w:sz w:val="20"/>
          <w:szCs w:val="20"/>
          <w:shd w:val="clear" w:color="auto" w:fill="FFFFFF"/>
          <w:lang w:val="en-US"/>
        </w:rPr>
        <w:t xml:space="preserve">18 </w:t>
      </w:r>
      <w:r w:rsidR="00E32025" w:rsidRPr="00E32025">
        <w:rPr>
          <w:sz w:val="20"/>
          <w:szCs w:val="20"/>
          <w:shd w:val="clear" w:color="auto" w:fill="FFFFFF"/>
          <w:lang w:val="en-US"/>
        </w:rPr>
        <w:t>Oct</w:t>
      </w:r>
      <w:r w:rsidR="00E32025">
        <w:rPr>
          <w:sz w:val="20"/>
          <w:szCs w:val="20"/>
          <w:shd w:val="clear" w:color="auto" w:fill="FFFFFF"/>
          <w:lang w:val="en-US"/>
        </w:rPr>
        <w:t>ober</w:t>
      </w:r>
      <w:r w:rsidRPr="00E32025">
        <w:rPr>
          <w:sz w:val="20"/>
          <w:szCs w:val="20"/>
          <w:shd w:val="clear" w:color="auto" w:fill="FFFFFF"/>
          <w:lang w:val="en-US"/>
        </w:rPr>
        <w:t xml:space="preserve"> 18, 2018, http://www.iconnectblog.com/2018/10/democratic-erosion-and-militant-democracy</w:t>
      </w:r>
      <w:r w:rsidR="00E32025">
        <w:rPr>
          <w:sz w:val="20"/>
          <w:szCs w:val="20"/>
          <w:shd w:val="clear" w:color="auto" w:fill="FFFFFF"/>
          <w:lang w:val="en-US"/>
        </w:rPr>
        <w:t xml:space="preserve"> </w:t>
      </w:r>
      <w:r w:rsidRPr="00E32025">
        <w:rPr>
          <w:rFonts w:eastAsiaTheme="minorHAnsi"/>
          <w:sz w:val="20"/>
          <w:szCs w:val="20"/>
          <w:lang w:val="en-US" w:eastAsia="en-US"/>
        </w:rPr>
        <w:t>(28 June 2021).</w:t>
      </w:r>
    </w:p>
  </w:footnote>
  <w:footnote w:id="16">
    <w:p w14:paraId="3C4E8344" w14:textId="3A88BF7B" w:rsidR="000F0A04" w:rsidRDefault="000F0A04">
      <w:pPr>
        <w:pStyle w:val="FootnoteText"/>
      </w:pPr>
      <w:r w:rsidRPr="0045740B">
        <w:rPr>
          <w:rStyle w:val="FootnoteReference"/>
        </w:rPr>
        <w:footnoteRef/>
      </w:r>
      <w:r w:rsidRPr="0045740B">
        <w:t xml:space="preserve"> </w:t>
      </w:r>
      <w:r w:rsidR="00E32025" w:rsidRPr="004033B1">
        <w:rPr>
          <w:rFonts w:eastAsiaTheme="minorHAnsi"/>
          <w:lang w:eastAsia="en-US"/>
        </w:rPr>
        <w:t>Ginsburg</w:t>
      </w:r>
      <w:r w:rsidR="00E32025">
        <w:rPr>
          <w:rFonts w:eastAsiaTheme="minorHAnsi"/>
          <w:lang w:eastAsia="en-US"/>
        </w:rPr>
        <w:t>, T.;</w:t>
      </w:r>
      <w:r w:rsidR="00E32025" w:rsidRPr="004033B1">
        <w:rPr>
          <w:rFonts w:eastAsiaTheme="minorHAnsi"/>
          <w:lang w:eastAsia="en-US"/>
        </w:rPr>
        <w:t xml:space="preserve"> Huq</w:t>
      </w:r>
      <w:r w:rsidR="00E32025">
        <w:rPr>
          <w:rFonts w:eastAsiaTheme="minorHAnsi"/>
          <w:lang w:eastAsia="en-US"/>
        </w:rPr>
        <w:t>, A.,</w:t>
      </w:r>
      <w:r w:rsidR="00E32025" w:rsidRPr="004033B1">
        <w:rPr>
          <w:rFonts w:eastAsiaTheme="minorHAnsi"/>
          <w:lang w:eastAsia="en-US"/>
        </w:rPr>
        <w:t xml:space="preserve"> </w:t>
      </w:r>
      <w:r w:rsidR="00E32025" w:rsidRPr="00E32025">
        <w:rPr>
          <w:rFonts w:eastAsiaTheme="minorHAnsi"/>
          <w:i/>
          <w:iCs/>
          <w:lang w:eastAsia="en-US"/>
        </w:rPr>
        <w:t>op.</w:t>
      </w:r>
      <w:r w:rsidR="0084086E">
        <w:rPr>
          <w:rFonts w:eastAsiaTheme="minorHAnsi"/>
          <w:i/>
          <w:iCs/>
          <w:lang w:eastAsia="en-US"/>
        </w:rPr>
        <w:t xml:space="preserve"> </w:t>
      </w:r>
      <w:r w:rsidR="00E32025" w:rsidRPr="00E32025">
        <w:rPr>
          <w:rFonts w:eastAsiaTheme="minorHAnsi"/>
          <w:i/>
          <w:iCs/>
          <w:lang w:eastAsia="en-US"/>
        </w:rPr>
        <w:t>cit.</w:t>
      </w:r>
      <w:r w:rsidR="00E32025">
        <w:rPr>
          <w:rFonts w:eastAsiaTheme="minorHAnsi"/>
          <w:lang w:eastAsia="en-US"/>
        </w:rPr>
        <w:t xml:space="preserve"> (fn</w:t>
      </w:r>
      <w:r w:rsidR="0084086E">
        <w:rPr>
          <w:rFonts w:eastAsiaTheme="minorHAnsi"/>
          <w:lang w:eastAsia="en-US"/>
        </w:rPr>
        <w:t>.</w:t>
      </w:r>
      <w:r w:rsidR="00DD0F27">
        <w:rPr>
          <w:rFonts w:eastAsiaTheme="minorHAnsi"/>
          <w:lang w:eastAsia="en-US"/>
        </w:rPr>
        <w:t>10</w:t>
      </w:r>
      <w:r w:rsidR="00E32025">
        <w:rPr>
          <w:rFonts w:eastAsiaTheme="minorHAnsi"/>
          <w:lang w:eastAsia="en-US"/>
        </w:rPr>
        <w:t xml:space="preserve">), </w:t>
      </w:r>
      <w:r w:rsidR="009C7E85" w:rsidRPr="0045740B">
        <w:t>p</w:t>
      </w:r>
      <w:r w:rsidR="005F62E0" w:rsidRPr="0045740B">
        <w:t>p.17</w:t>
      </w:r>
      <w:r w:rsidR="009C7E85" w:rsidRPr="0045740B">
        <w:t>0-171</w:t>
      </w:r>
      <w:r w:rsidR="005F62E0">
        <w:t xml:space="preserve">. </w:t>
      </w:r>
    </w:p>
  </w:footnote>
  <w:footnote w:id="17">
    <w:p w14:paraId="3024DD25" w14:textId="2B24C947" w:rsidR="000F0A04" w:rsidRDefault="000F0A04">
      <w:pPr>
        <w:pStyle w:val="FootnoteText"/>
      </w:pPr>
      <w:r>
        <w:rPr>
          <w:rStyle w:val="FootnoteReference"/>
        </w:rPr>
        <w:footnoteRef/>
      </w:r>
      <w:r>
        <w:t xml:space="preserve"> </w:t>
      </w:r>
      <w:r w:rsidR="00FD2105" w:rsidRPr="00FD2105">
        <w:rPr>
          <w:i/>
          <w:iCs/>
        </w:rPr>
        <w:t>Ibid</w:t>
      </w:r>
      <w:r w:rsidR="00FD2105">
        <w:t>.</w:t>
      </w:r>
      <w:r w:rsidR="009C7E85" w:rsidRPr="009C7E85">
        <w:t xml:space="preserve"> </w:t>
      </w:r>
      <w:r w:rsidR="009C7E85">
        <w:t>p.171.</w:t>
      </w:r>
    </w:p>
  </w:footnote>
  <w:footnote w:id="18">
    <w:p w14:paraId="1A37171D" w14:textId="3D4A71A0" w:rsidR="000F0A04" w:rsidRDefault="000F0A04">
      <w:pPr>
        <w:pStyle w:val="FootnoteText"/>
      </w:pPr>
      <w:r>
        <w:rPr>
          <w:rStyle w:val="FootnoteReference"/>
        </w:rPr>
        <w:footnoteRef/>
      </w:r>
      <w:r>
        <w:t xml:space="preserve"> </w:t>
      </w:r>
      <w:r w:rsidR="00FD2105" w:rsidRPr="00FD2105">
        <w:rPr>
          <w:i/>
          <w:iCs/>
        </w:rPr>
        <w:t>Ibid</w:t>
      </w:r>
      <w:r w:rsidR="00FD2105">
        <w:t>.</w:t>
      </w:r>
    </w:p>
  </w:footnote>
  <w:footnote w:id="19">
    <w:p w14:paraId="0FE4FB47" w14:textId="6BF5CFE1" w:rsidR="000F0A04" w:rsidRDefault="000F0A04">
      <w:pPr>
        <w:pStyle w:val="FootnoteText"/>
      </w:pPr>
      <w:r>
        <w:rPr>
          <w:rStyle w:val="FootnoteReference"/>
        </w:rPr>
        <w:footnoteRef/>
      </w:r>
      <w:r>
        <w:t xml:space="preserve"> </w:t>
      </w:r>
      <w:r w:rsidR="00FD2105" w:rsidRPr="00FD2105">
        <w:rPr>
          <w:i/>
          <w:iCs/>
        </w:rPr>
        <w:t>Ibid</w:t>
      </w:r>
      <w:r w:rsidR="00FD2105">
        <w:t>.</w:t>
      </w:r>
    </w:p>
  </w:footnote>
  <w:footnote w:id="20">
    <w:p w14:paraId="765BA47F" w14:textId="3D142BE1" w:rsidR="009A6D63" w:rsidRDefault="009A6D63">
      <w:pPr>
        <w:pStyle w:val="FootnoteText"/>
      </w:pPr>
      <w:r>
        <w:rPr>
          <w:rStyle w:val="FootnoteReference"/>
        </w:rPr>
        <w:footnoteRef/>
      </w:r>
      <w:r>
        <w:t xml:space="preserve"> </w:t>
      </w:r>
      <w:r w:rsidRPr="009A6D63">
        <w:rPr>
          <w:i/>
          <w:iCs/>
        </w:rPr>
        <w:t>Ibid.</w:t>
      </w:r>
    </w:p>
  </w:footnote>
  <w:footnote w:id="21">
    <w:p w14:paraId="4C4C065E" w14:textId="5034D2E3" w:rsidR="000F0A04" w:rsidRDefault="000F0A04">
      <w:pPr>
        <w:pStyle w:val="FootnoteText"/>
      </w:pPr>
      <w:r>
        <w:rPr>
          <w:rStyle w:val="FootnoteReference"/>
        </w:rPr>
        <w:footnoteRef/>
      </w:r>
      <w:r>
        <w:t xml:space="preserve"> </w:t>
      </w:r>
      <w:r w:rsidR="00FD2105" w:rsidRPr="00FD2105">
        <w:rPr>
          <w:i/>
          <w:iCs/>
        </w:rPr>
        <w:t>Ibid</w:t>
      </w:r>
      <w:r w:rsidR="00FD2105">
        <w:t>.</w:t>
      </w:r>
    </w:p>
  </w:footnote>
  <w:footnote w:id="22">
    <w:p w14:paraId="05CEEAB5" w14:textId="158B3AE4" w:rsidR="000F0A04" w:rsidRDefault="000F0A04">
      <w:pPr>
        <w:pStyle w:val="FootnoteText"/>
      </w:pPr>
      <w:r>
        <w:rPr>
          <w:rStyle w:val="FootnoteReference"/>
        </w:rPr>
        <w:footnoteRef/>
      </w:r>
      <w:r>
        <w:t xml:space="preserve"> </w:t>
      </w:r>
      <w:r w:rsidR="00FD2105" w:rsidRPr="00FD2105">
        <w:rPr>
          <w:i/>
          <w:iCs/>
        </w:rPr>
        <w:t>Ibid</w:t>
      </w:r>
      <w:r w:rsidR="00FD2105">
        <w:t>.</w:t>
      </w:r>
    </w:p>
  </w:footnote>
  <w:footnote w:id="23">
    <w:p w14:paraId="62C74DB0" w14:textId="2BC97E2B" w:rsidR="000F0A04" w:rsidRDefault="000F0A04">
      <w:pPr>
        <w:pStyle w:val="FootnoteText"/>
      </w:pPr>
      <w:r>
        <w:rPr>
          <w:rStyle w:val="FootnoteReference"/>
        </w:rPr>
        <w:footnoteRef/>
      </w:r>
      <w:r>
        <w:t xml:space="preserve"> </w:t>
      </w:r>
      <w:r w:rsidR="00FD2105" w:rsidRPr="00FD2105">
        <w:rPr>
          <w:i/>
          <w:iCs/>
        </w:rPr>
        <w:t>Ibid</w:t>
      </w:r>
      <w:r w:rsidR="00FD2105">
        <w:t>.,</w:t>
      </w:r>
      <w:r w:rsidR="009C7E85">
        <w:t>p.172.</w:t>
      </w:r>
    </w:p>
  </w:footnote>
  <w:footnote w:id="24">
    <w:p w14:paraId="4C7A8E4A" w14:textId="48042651" w:rsidR="000F0A04" w:rsidRDefault="000F0A04">
      <w:pPr>
        <w:pStyle w:val="FootnoteText"/>
      </w:pPr>
      <w:r>
        <w:rPr>
          <w:rStyle w:val="FootnoteReference"/>
        </w:rPr>
        <w:footnoteRef/>
      </w:r>
      <w:r>
        <w:t xml:space="preserve"> </w:t>
      </w:r>
      <w:r w:rsidR="00FD2105" w:rsidRPr="00FD2105">
        <w:rPr>
          <w:i/>
          <w:iCs/>
        </w:rPr>
        <w:t>Ibid</w:t>
      </w:r>
      <w:r w:rsidR="00FD2105">
        <w:t>.,</w:t>
      </w:r>
    </w:p>
  </w:footnote>
  <w:footnote w:id="25">
    <w:p w14:paraId="0F9695B9" w14:textId="5C05FBF9" w:rsidR="000F0A04" w:rsidRDefault="000F0A04">
      <w:pPr>
        <w:pStyle w:val="FootnoteText"/>
      </w:pPr>
      <w:r>
        <w:rPr>
          <w:rStyle w:val="FootnoteReference"/>
        </w:rPr>
        <w:footnoteRef/>
      </w:r>
      <w:r>
        <w:t xml:space="preserve"> </w:t>
      </w:r>
      <w:r w:rsidR="0084086E" w:rsidRPr="004033B1">
        <w:rPr>
          <w:rFonts w:eastAsiaTheme="minorHAnsi"/>
          <w:lang w:eastAsia="en-US"/>
        </w:rPr>
        <w:t>Ginsburg</w:t>
      </w:r>
      <w:r w:rsidR="0084086E">
        <w:rPr>
          <w:rFonts w:eastAsiaTheme="minorHAnsi"/>
          <w:lang w:eastAsia="en-US"/>
        </w:rPr>
        <w:t>, T.;</w:t>
      </w:r>
      <w:r w:rsidR="0084086E" w:rsidRPr="004033B1">
        <w:rPr>
          <w:rFonts w:eastAsiaTheme="minorHAnsi"/>
          <w:lang w:eastAsia="en-US"/>
        </w:rPr>
        <w:t xml:space="preserve"> Huq</w:t>
      </w:r>
      <w:r w:rsidR="0084086E">
        <w:rPr>
          <w:rFonts w:eastAsiaTheme="minorHAnsi"/>
          <w:lang w:eastAsia="en-US"/>
        </w:rPr>
        <w:t>, A.,</w:t>
      </w:r>
      <w:r w:rsidR="0084086E" w:rsidRPr="004033B1">
        <w:rPr>
          <w:rFonts w:eastAsiaTheme="minorHAnsi"/>
          <w:lang w:eastAsia="en-US"/>
        </w:rPr>
        <w:t xml:space="preserve"> </w:t>
      </w:r>
      <w:r w:rsidR="0084086E" w:rsidRPr="00E32025">
        <w:rPr>
          <w:rFonts w:eastAsiaTheme="minorHAnsi"/>
          <w:i/>
          <w:iCs/>
          <w:lang w:eastAsia="en-US"/>
        </w:rPr>
        <w:t>op.</w:t>
      </w:r>
      <w:r w:rsidR="0084086E">
        <w:rPr>
          <w:rFonts w:eastAsiaTheme="minorHAnsi"/>
          <w:i/>
          <w:iCs/>
          <w:lang w:eastAsia="en-US"/>
        </w:rPr>
        <w:t xml:space="preserve"> </w:t>
      </w:r>
      <w:r w:rsidR="0084086E" w:rsidRPr="00E32025">
        <w:rPr>
          <w:rFonts w:eastAsiaTheme="minorHAnsi"/>
          <w:i/>
          <w:iCs/>
          <w:lang w:eastAsia="en-US"/>
        </w:rPr>
        <w:t>cit.</w:t>
      </w:r>
      <w:r w:rsidR="0084086E">
        <w:rPr>
          <w:rFonts w:eastAsiaTheme="minorHAnsi"/>
          <w:lang w:eastAsia="en-US"/>
        </w:rPr>
        <w:t xml:space="preserve"> (fn.1</w:t>
      </w:r>
      <w:r w:rsidR="00570B4E">
        <w:rPr>
          <w:rFonts w:eastAsiaTheme="minorHAnsi"/>
          <w:lang w:eastAsia="en-US"/>
        </w:rPr>
        <w:t>4</w:t>
      </w:r>
      <w:r w:rsidR="0084086E">
        <w:rPr>
          <w:rFonts w:eastAsiaTheme="minorHAnsi"/>
          <w:lang w:eastAsia="en-US"/>
        </w:rPr>
        <w:t xml:space="preserve">). </w:t>
      </w:r>
    </w:p>
  </w:footnote>
  <w:footnote w:id="26">
    <w:p w14:paraId="68F97CAA" w14:textId="5B0D15BC" w:rsidR="006F36C4" w:rsidRPr="001E7B1D" w:rsidRDefault="006F36C4" w:rsidP="001E7B1D">
      <w:pPr>
        <w:autoSpaceDE w:val="0"/>
        <w:autoSpaceDN w:val="0"/>
        <w:adjustRightInd w:val="0"/>
        <w:jc w:val="both"/>
        <w:rPr>
          <w:rFonts w:eastAsiaTheme="minorHAnsi"/>
          <w:sz w:val="20"/>
          <w:szCs w:val="20"/>
          <w:lang w:eastAsia="en-US"/>
        </w:rPr>
      </w:pPr>
      <w:r w:rsidRPr="001E7B1D">
        <w:rPr>
          <w:rStyle w:val="FootnoteReference"/>
          <w:sz w:val="20"/>
          <w:szCs w:val="20"/>
        </w:rPr>
        <w:footnoteRef/>
      </w:r>
      <w:r w:rsidRPr="001E7B1D">
        <w:rPr>
          <w:sz w:val="20"/>
          <w:szCs w:val="20"/>
        </w:rPr>
        <w:t xml:space="preserve"> </w:t>
      </w:r>
      <w:proofErr w:type="spellStart"/>
      <w:r w:rsidRPr="001E7B1D">
        <w:rPr>
          <w:rFonts w:eastAsiaTheme="minorHAnsi"/>
          <w:sz w:val="20"/>
          <w:szCs w:val="20"/>
          <w:lang w:eastAsia="en-US"/>
        </w:rPr>
        <w:t>Pfersmann</w:t>
      </w:r>
      <w:proofErr w:type="spellEnd"/>
      <w:r w:rsidRPr="001E7B1D">
        <w:rPr>
          <w:rFonts w:eastAsiaTheme="minorHAnsi"/>
          <w:sz w:val="20"/>
          <w:szCs w:val="20"/>
          <w:lang w:eastAsia="en-US"/>
        </w:rPr>
        <w:t>,</w:t>
      </w:r>
      <w:r w:rsidR="001E7B1D" w:rsidRPr="001E7B1D">
        <w:rPr>
          <w:rFonts w:eastAsiaTheme="minorHAnsi"/>
          <w:sz w:val="20"/>
          <w:szCs w:val="20"/>
          <w:lang w:eastAsia="en-US"/>
        </w:rPr>
        <w:t xml:space="preserve"> O.,</w:t>
      </w:r>
      <w:r w:rsidRPr="001E7B1D">
        <w:rPr>
          <w:rFonts w:eastAsiaTheme="minorHAnsi"/>
          <w:sz w:val="20"/>
          <w:szCs w:val="20"/>
          <w:lang w:eastAsia="en-US"/>
        </w:rPr>
        <w:t xml:space="preserve"> </w:t>
      </w:r>
      <w:r w:rsidRPr="001E7B1D">
        <w:rPr>
          <w:rFonts w:eastAsiaTheme="minorHAnsi"/>
          <w:i/>
          <w:iCs/>
          <w:sz w:val="20"/>
          <w:szCs w:val="20"/>
          <w:lang w:eastAsia="en-US"/>
        </w:rPr>
        <w:t>Shaping Militant Democracy: Legal Limits to Democratic Stability</w:t>
      </w:r>
      <w:r w:rsidRPr="001E7B1D">
        <w:rPr>
          <w:rFonts w:eastAsiaTheme="minorHAnsi"/>
          <w:sz w:val="20"/>
          <w:szCs w:val="20"/>
          <w:lang w:eastAsia="en-US"/>
        </w:rPr>
        <w:t>, in</w:t>
      </w:r>
      <w:r w:rsidR="001E7B1D" w:rsidRPr="001E7B1D">
        <w:rPr>
          <w:rFonts w:eastAsiaTheme="minorHAnsi"/>
          <w:sz w:val="20"/>
          <w:szCs w:val="20"/>
          <w:lang w:eastAsia="en-US"/>
        </w:rPr>
        <w:t>:</w:t>
      </w:r>
      <w:r w:rsidR="001E7B1D" w:rsidRPr="001E7B1D">
        <w:rPr>
          <w:rFonts w:cs="Stone Serif ITC"/>
          <w:color w:val="000000"/>
          <w:sz w:val="20"/>
          <w:szCs w:val="20"/>
        </w:rPr>
        <w:t xml:space="preserve"> Sajó, A. (ed.), </w:t>
      </w:r>
      <w:r w:rsidR="001E7B1D" w:rsidRPr="001E7B1D">
        <w:rPr>
          <w:rFonts w:cs="Stone Serif ITC"/>
          <w:i/>
          <w:iCs/>
          <w:color w:val="000000"/>
          <w:sz w:val="20"/>
          <w:szCs w:val="20"/>
        </w:rPr>
        <w:t>Militant Democracy</w:t>
      </w:r>
      <w:r w:rsidR="001E7B1D" w:rsidRPr="001E7B1D">
        <w:rPr>
          <w:rFonts w:cs="Stone Serif ITC"/>
          <w:color w:val="000000"/>
          <w:sz w:val="20"/>
          <w:szCs w:val="20"/>
        </w:rPr>
        <w:t xml:space="preserve">, </w:t>
      </w:r>
      <w:r w:rsidR="001E7B1D" w:rsidRPr="001E7B1D">
        <w:rPr>
          <w:rFonts w:cs="Stone Serif ITC"/>
          <w:i/>
          <w:iCs/>
          <w:color w:val="000000"/>
          <w:sz w:val="20"/>
          <w:szCs w:val="20"/>
        </w:rPr>
        <w:t>op.cit.</w:t>
      </w:r>
      <w:r w:rsidR="001E7B1D" w:rsidRPr="001E7B1D">
        <w:rPr>
          <w:rFonts w:cs="Stone Serif ITC"/>
          <w:color w:val="000000"/>
          <w:sz w:val="20"/>
          <w:szCs w:val="20"/>
        </w:rPr>
        <w:t xml:space="preserve"> (fn.1),</w:t>
      </w:r>
      <w:r w:rsidRPr="001E7B1D">
        <w:rPr>
          <w:rFonts w:eastAsiaTheme="minorHAnsi"/>
          <w:sz w:val="20"/>
          <w:szCs w:val="20"/>
          <w:lang w:eastAsia="en-US"/>
        </w:rPr>
        <w:t xml:space="preserve"> </w:t>
      </w:r>
      <w:r w:rsidR="001E7B1D">
        <w:rPr>
          <w:rFonts w:eastAsiaTheme="minorHAnsi"/>
          <w:sz w:val="20"/>
          <w:szCs w:val="20"/>
          <w:lang w:eastAsia="en-US"/>
        </w:rPr>
        <w:t>p.</w:t>
      </w:r>
      <w:r w:rsidRPr="001E7B1D">
        <w:rPr>
          <w:rFonts w:eastAsiaTheme="minorHAnsi"/>
          <w:sz w:val="20"/>
          <w:szCs w:val="20"/>
          <w:lang w:eastAsia="en-US"/>
        </w:rPr>
        <w:t>47.</w:t>
      </w:r>
    </w:p>
  </w:footnote>
  <w:footnote w:id="27">
    <w:p w14:paraId="7A7BD702" w14:textId="6D66B560" w:rsidR="006F36C4" w:rsidRPr="001E7B1D" w:rsidRDefault="006F36C4" w:rsidP="001E7B1D">
      <w:pPr>
        <w:pStyle w:val="FootnoteText"/>
        <w:keepLines/>
        <w:jc w:val="both"/>
      </w:pPr>
      <w:r w:rsidRPr="001E7B1D">
        <w:rPr>
          <w:rStyle w:val="FootnoteReference"/>
        </w:rPr>
        <w:footnoteRef/>
      </w:r>
      <w:r w:rsidRPr="001E7B1D">
        <w:t xml:space="preserve"> See </w:t>
      </w:r>
      <w:r w:rsidRPr="001E7B1D">
        <w:rPr>
          <w:lang w:val="uz-Cyrl-UZ"/>
        </w:rPr>
        <w:t>Loewenstein,</w:t>
      </w:r>
      <w:r w:rsidR="001E7B1D">
        <w:t xml:space="preserve"> K.,</w:t>
      </w:r>
      <w:r w:rsidRPr="001E7B1D">
        <w:rPr>
          <w:lang w:val="uz-Cyrl-UZ"/>
        </w:rPr>
        <w:t xml:space="preserve"> </w:t>
      </w:r>
      <w:r w:rsidRPr="001E7B1D">
        <w:rPr>
          <w:i/>
          <w:iCs/>
          <w:lang w:val="uz-Cyrl-UZ"/>
        </w:rPr>
        <w:t>Militant Democracy and Fundamental Rights</w:t>
      </w:r>
      <w:r w:rsidRPr="001E7B1D">
        <w:rPr>
          <w:i/>
          <w:iCs/>
        </w:rPr>
        <w:t xml:space="preserve"> I</w:t>
      </w:r>
      <w:r w:rsidRPr="001E7B1D">
        <w:t xml:space="preserve">, </w:t>
      </w:r>
      <w:r w:rsidRPr="001E7B1D">
        <w:rPr>
          <w:iCs/>
          <w:lang w:val="uz-Cyrl-UZ"/>
        </w:rPr>
        <w:t>The American Political Science Review</w:t>
      </w:r>
      <w:r w:rsidRPr="001E7B1D">
        <w:rPr>
          <w:i/>
          <w:iCs/>
          <w:lang w:val="uz-Cyrl-UZ"/>
        </w:rPr>
        <w:t xml:space="preserve">, </w:t>
      </w:r>
      <w:r w:rsidR="001E7B1D">
        <w:t>v</w:t>
      </w:r>
      <w:r w:rsidRPr="001E7B1D">
        <w:rPr>
          <w:lang w:val="uz-Cyrl-UZ"/>
        </w:rPr>
        <w:t xml:space="preserve">ol.31, </w:t>
      </w:r>
      <w:r w:rsidR="001E7B1D">
        <w:t>n</w:t>
      </w:r>
      <w:r w:rsidRPr="001E7B1D">
        <w:rPr>
          <w:lang w:val="uz-Cyrl-UZ"/>
        </w:rPr>
        <w:t>o.3,1937, pp.417-432</w:t>
      </w:r>
      <w:r w:rsidRPr="001E7B1D">
        <w:t xml:space="preserve">, and </w:t>
      </w:r>
      <w:r w:rsidRPr="001E7B1D">
        <w:rPr>
          <w:lang w:val="uz-Cyrl-UZ"/>
        </w:rPr>
        <w:t>Loewenstein,</w:t>
      </w:r>
      <w:r w:rsidR="001E7B1D">
        <w:t>K.,</w:t>
      </w:r>
      <w:r w:rsidRPr="001E7B1D">
        <w:rPr>
          <w:i/>
          <w:iCs/>
          <w:lang w:val="uz-Cyrl-UZ"/>
        </w:rPr>
        <w:t>Militant Democracy and Fundamental Rights</w:t>
      </w:r>
      <w:r w:rsidRPr="001E7B1D">
        <w:rPr>
          <w:i/>
          <w:iCs/>
        </w:rPr>
        <w:t xml:space="preserve"> II</w:t>
      </w:r>
      <w:r w:rsidRPr="001E7B1D">
        <w:t xml:space="preserve">, </w:t>
      </w:r>
      <w:r w:rsidRPr="001E7B1D">
        <w:rPr>
          <w:iCs/>
          <w:lang w:val="uz-Cyrl-UZ"/>
        </w:rPr>
        <w:t>The American Political Science Review</w:t>
      </w:r>
      <w:r w:rsidRPr="001E7B1D">
        <w:rPr>
          <w:i/>
          <w:iCs/>
          <w:lang w:val="uz-Cyrl-UZ"/>
        </w:rPr>
        <w:t xml:space="preserve">, </w:t>
      </w:r>
      <w:r w:rsidR="001E7B1D">
        <w:t>v</w:t>
      </w:r>
      <w:r w:rsidRPr="001E7B1D">
        <w:rPr>
          <w:lang w:val="uz-Cyrl-UZ"/>
        </w:rPr>
        <w:t xml:space="preserve">ol.31, </w:t>
      </w:r>
      <w:r w:rsidR="001E7B1D">
        <w:t>n</w:t>
      </w:r>
      <w:r w:rsidRPr="001E7B1D">
        <w:rPr>
          <w:lang w:val="uz-Cyrl-UZ"/>
        </w:rPr>
        <w:t>o.4,1937,pp.638-658</w:t>
      </w:r>
      <w:r w:rsidRPr="001E7B1D">
        <w:t xml:space="preserve">, the both reprinted in </w:t>
      </w:r>
      <w:proofErr w:type="spellStart"/>
      <w:r w:rsidR="001E7B1D" w:rsidRPr="001E7B1D">
        <w:rPr>
          <w:rFonts w:cs="Stone Serif ITC"/>
          <w:color w:val="000000"/>
        </w:rPr>
        <w:t>Sajó</w:t>
      </w:r>
      <w:proofErr w:type="spellEnd"/>
      <w:r w:rsidR="001E7B1D" w:rsidRPr="001E7B1D">
        <w:rPr>
          <w:rFonts w:cs="Stone Serif ITC"/>
          <w:color w:val="000000"/>
        </w:rPr>
        <w:t xml:space="preserve">, A. (ed.), </w:t>
      </w:r>
      <w:r w:rsidR="001E7B1D" w:rsidRPr="001E7B1D">
        <w:rPr>
          <w:rFonts w:cs="Stone Serif ITC"/>
          <w:i/>
          <w:iCs/>
          <w:color w:val="000000"/>
        </w:rPr>
        <w:t>Militant Democracy</w:t>
      </w:r>
      <w:r w:rsidR="001E7B1D" w:rsidRPr="001E7B1D">
        <w:rPr>
          <w:rFonts w:cs="Stone Serif ITC"/>
          <w:color w:val="000000"/>
        </w:rPr>
        <w:t xml:space="preserve">, </w:t>
      </w:r>
      <w:proofErr w:type="spellStart"/>
      <w:r w:rsidR="001E7B1D" w:rsidRPr="001E7B1D">
        <w:rPr>
          <w:rFonts w:cs="Stone Serif ITC"/>
          <w:i/>
          <w:iCs/>
          <w:color w:val="000000"/>
        </w:rPr>
        <w:t>op.cit</w:t>
      </w:r>
      <w:proofErr w:type="spellEnd"/>
      <w:r w:rsidR="001E7B1D" w:rsidRPr="001E7B1D">
        <w:rPr>
          <w:rFonts w:cs="Stone Serif ITC"/>
          <w:i/>
          <w:iCs/>
          <w:color w:val="000000"/>
        </w:rPr>
        <w:t>.</w:t>
      </w:r>
      <w:r w:rsidR="001E7B1D" w:rsidRPr="001E7B1D">
        <w:rPr>
          <w:rFonts w:cs="Stone Serif ITC"/>
          <w:color w:val="000000"/>
        </w:rPr>
        <w:t xml:space="preserve"> (fn.1),</w:t>
      </w:r>
      <w:r w:rsidR="001E7B1D" w:rsidRPr="001E7B1D">
        <w:rPr>
          <w:rFonts w:eastAsiaTheme="minorHAnsi"/>
          <w:lang w:val="en-GB" w:eastAsia="en-US"/>
        </w:rPr>
        <w:t xml:space="preserve"> </w:t>
      </w:r>
      <w:r w:rsidRPr="001E7B1D">
        <w:rPr>
          <w:lang w:val="en-GB"/>
        </w:rPr>
        <w:t>pp. 231-262. Further</w:t>
      </w:r>
      <w:r w:rsidR="001E7B1D">
        <w:rPr>
          <w:lang w:val="en-GB"/>
        </w:rPr>
        <w:t xml:space="preserve"> </w:t>
      </w:r>
      <w:r w:rsidRPr="001E7B1D">
        <w:rPr>
          <w:lang w:val="en-GB"/>
        </w:rPr>
        <w:t xml:space="preserve">in this chapter, all mentioned references indicate the pagination in the reprint.  </w:t>
      </w:r>
    </w:p>
  </w:footnote>
  <w:footnote w:id="28">
    <w:p w14:paraId="176B1610" w14:textId="2CF09871" w:rsidR="006F36C4" w:rsidRPr="001E7B1D" w:rsidRDefault="006F36C4" w:rsidP="001E7B1D">
      <w:pPr>
        <w:pStyle w:val="FootnoteText"/>
        <w:jc w:val="both"/>
      </w:pPr>
      <w:r w:rsidRPr="001E7B1D">
        <w:rPr>
          <w:rStyle w:val="FootnoteReference"/>
        </w:rPr>
        <w:footnoteRef/>
      </w:r>
      <w:r w:rsidRPr="001E7B1D">
        <w:t xml:space="preserve"> </w:t>
      </w:r>
      <w:r w:rsidR="001E7B1D" w:rsidRPr="001E7B1D">
        <w:rPr>
          <w:lang w:val="uz-Cyrl-UZ"/>
        </w:rPr>
        <w:t xml:space="preserve">Loewenstein, </w:t>
      </w:r>
      <w:r w:rsidR="001E7B1D">
        <w:t>K.,</w:t>
      </w:r>
      <w:r w:rsidR="001E7B1D" w:rsidRPr="001E7B1D">
        <w:rPr>
          <w:i/>
          <w:iCs/>
          <w:lang w:val="uz-Cyrl-UZ"/>
        </w:rPr>
        <w:t>Militant Democracy and Fundamental Rights</w:t>
      </w:r>
      <w:r w:rsidR="001E7B1D" w:rsidRPr="001E7B1D">
        <w:rPr>
          <w:i/>
          <w:iCs/>
        </w:rPr>
        <w:t xml:space="preserve"> I</w:t>
      </w:r>
      <w:r w:rsidR="001E7B1D" w:rsidRPr="001E7B1D">
        <w:t xml:space="preserve">, </w:t>
      </w:r>
      <w:r w:rsidR="001E7B1D" w:rsidRPr="001E7B1D">
        <w:rPr>
          <w:i/>
          <w:iCs/>
        </w:rPr>
        <w:t>op. cit</w:t>
      </w:r>
      <w:r w:rsidR="001E7B1D">
        <w:t>.</w:t>
      </w:r>
      <w:r w:rsidR="001E7B1D" w:rsidRPr="001E7B1D">
        <w:t xml:space="preserve"> (fn.2</w:t>
      </w:r>
      <w:r w:rsidR="00BC3A6D">
        <w:t>6</w:t>
      </w:r>
      <w:r w:rsidR="001E7B1D" w:rsidRPr="001E7B1D">
        <w:t>), p.238.</w:t>
      </w:r>
    </w:p>
  </w:footnote>
  <w:footnote w:id="29">
    <w:p w14:paraId="5A0CBDDD" w14:textId="30462E38" w:rsidR="006F36C4" w:rsidRPr="001E7B1D" w:rsidRDefault="006F36C4" w:rsidP="001E7B1D">
      <w:pPr>
        <w:pStyle w:val="FootnoteText"/>
        <w:jc w:val="both"/>
      </w:pPr>
      <w:r w:rsidRPr="001E7B1D">
        <w:rPr>
          <w:rStyle w:val="FootnoteReference"/>
        </w:rPr>
        <w:footnoteRef/>
      </w:r>
      <w:r w:rsidRPr="001E7B1D">
        <w:t xml:space="preserve"> </w:t>
      </w:r>
      <w:r w:rsidR="001E7B1D" w:rsidRPr="001E7B1D">
        <w:rPr>
          <w:lang w:val="uz-Cyrl-UZ"/>
        </w:rPr>
        <w:t>Loewenstein,</w:t>
      </w:r>
      <w:r w:rsidR="001E7B1D">
        <w:t>K.,</w:t>
      </w:r>
      <w:r w:rsidR="001E7B1D" w:rsidRPr="001E7B1D">
        <w:rPr>
          <w:i/>
          <w:iCs/>
          <w:lang w:val="uz-Cyrl-UZ"/>
        </w:rPr>
        <w:t>Militant Democracy and Fundamental Rights</w:t>
      </w:r>
      <w:r w:rsidR="001E7B1D" w:rsidRPr="001E7B1D">
        <w:rPr>
          <w:i/>
          <w:iCs/>
        </w:rPr>
        <w:t xml:space="preserve"> II</w:t>
      </w:r>
      <w:r w:rsidR="001E7B1D" w:rsidRPr="001E7B1D">
        <w:t xml:space="preserve">, </w:t>
      </w:r>
      <w:r w:rsidR="001E7B1D" w:rsidRPr="001E7B1D">
        <w:rPr>
          <w:i/>
          <w:iCs/>
        </w:rPr>
        <w:t>op. cit</w:t>
      </w:r>
      <w:r w:rsidR="001E7B1D" w:rsidRPr="001E7B1D">
        <w:t>. (fn.2</w:t>
      </w:r>
      <w:r w:rsidR="00BC3A6D">
        <w:t>6</w:t>
      </w:r>
      <w:r w:rsidR="001E7B1D" w:rsidRPr="001E7B1D">
        <w:t>), pp.250-261.</w:t>
      </w:r>
    </w:p>
  </w:footnote>
  <w:footnote w:id="30">
    <w:p w14:paraId="2715E3AC" w14:textId="094E1E88" w:rsidR="00EF402D" w:rsidRPr="001E7B1D" w:rsidRDefault="00EF402D" w:rsidP="001E7B1D">
      <w:pPr>
        <w:pStyle w:val="FootnoteText"/>
        <w:jc w:val="both"/>
      </w:pPr>
      <w:r w:rsidRPr="001E7B1D">
        <w:rPr>
          <w:rStyle w:val="FootnoteReference"/>
        </w:rPr>
        <w:footnoteRef/>
      </w:r>
      <w:r w:rsidRPr="001E7B1D">
        <w:t xml:space="preserve"> For a discussion, see, </w:t>
      </w:r>
      <w:r w:rsidRPr="001E7B1D">
        <w:rPr>
          <w:i/>
          <w:iCs/>
        </w:rPr>
        <w:t>e.g.</w:t>
      </w:r>
      <w:r w:rsidRPr="001E7B1D">
        <w:t>, Thiel,</w:t>
      </w:r>
      <w:r w:rsidR="001E7B1D">
        <w:t xml:space="preserve"> M., </w:t>
      </w:r>
      <w:r w:rsidRPr="001E7B1D">
        <w:rPr>
          <w:i/>
          <w:iCs/>
        </w:rPr>
        <w:t>Comparative Aspects</w:t>
      </w:r>
      <w:r w:rsidRPr="001E7B1D">
        <w:t>, in</w:t>
      </w:r>
      <w:r w:rsidR="001E7B1D">
        <w:t>:</w:t>
      </w:r>
      <w:r w:rsidRPr="001E7B1D">
        <w:t xml:space="preserve"> Thiel</w:t>
      </w:r>
      <w:r w:rsidR="002F38F4">
        <w:t>, M.</w:t>
      </w:r>
      <w:r w:rsidRPr="001E7B1D">
        <w:t xml:space="preserve">(ed.), </w:t>
      </w:r>
      <w:r w:rsidR="002F38F4">
        <w:rPr>
          <w:i/>
          <w:iCs/>
        </w:rPr>
        <w:t>op</w:t>
      </w:r>
      <w:r w:rsidR="002F38F4" w:rsidRPr="002F38F4">
        <w:rPr>
          <w:i/>
          <w:iCs/>
        </w:rPr>
        <w:t>.</w:t>
      </w:r>
      <w:r w:rsidR="002F38F4">
        <w:rPr>
          <w:i/>
          <w:iCs/>
        </w:rPr>
        <w:t xml:space="preserve"> </w:t>
      </w:r>
      <w:r w:rsidR="002F38F4" w:rsidRPr="002F38F4">
        <w:rPr>
          <w:i/>
          <w:iCs/>
        </w:rPr>
        <w:t>cit</w:t>
      </w:r>
      <w:r w:rsidR="002F38F4">
        <w:rPr>
          <w:i/>
          <w:iCs/>
        </w:rPr>
        <w:t>.</w:t>
      </w:r>
      <w:r w:rsidR="002F38F4" w:rsidRPr="002F38F4">
        <w:t>(fn.1)</w:t>
      </w:r>
      <w:r w:rsidRPr="002F38F4">
        <w:t xml:space="preserve">, </w:t>
      </w:r>
      <w:r w:rsidRPr="001E7B1D">
        <w:t>pp.379-424; Beširević,</w:t>
      </w:r>
      <w:r w:rsidR="001E1F0F">
        <w:t xml:space="preserve"> V.,</w:t>
      </w:r>
      <w:r w:rsidRPr="001E7B1D">
        <w:t xml:space="preserve"> </w:t>
      </w:r>
      <w:proofErr w:type="spellStart"/>
      <w:r w:rsidRPr="001E1F0F">
        <w:rPr>
          <w:i/>
          <w:iCs/>
        </w:rPr>
        <w:t>Predgovor</w:t>
      </w:r>
      <w:proofErr w:type="spellEnd"/>
      <w:r w:rsidRPr="001E7B1D">
        <w:t xml:space="preserve"> [</w:t>
      </w:r>
      <w:r w:rsidRPr="001E1F0F">
        <w:rPr>
          <w:i/>
          <w:iCs/>
        </w:rPr>
        <w:t>Introduction</w:t>
      </w:r>
      <w:r w:rsidRPr="001E7B1D">
        <w:t>], in</w:t>
      </w:r>
      <w:r w:rsidR="001E1F0F">
        <w:t>:</w:t>
      </w:r>
      <w:r w:rsidRPr="001E7B1D">
        <w:t xml:space="preserve"> Beširević,</w:t>
      </w:r>
      <w:r w:rsidR="001E1F0F">
        <w:t xml:space="preserve"> V., </w:t>
      </w:r>
      <w:r w:rsidR="001E1F0F">
        <w:rPr>
          <w:i/>
          <w:iCs/>
        </w:rPr>
        <w:t>op</w:t>
      </w:r>
      <w:r w:rsidR="001E1F0F" w:rsidRPr="002F38F4">
        <w:rPr>
          <w:i/>
          <w:iCs/>
        </w:rPr>
        <w:t>.</w:t>
      </w:r>
      <w:r w:rsidR="001E1F0F">
        <w:rPr>
          <w:i/>
          <w:iCs/>
        </w:rPr>
        <w:t xml:space="preserve"> </w:t>
      </w:r>
      <w:r w:rsidR="001E1F0F" w:rsidRPr="002F38F4">
        <w:rPr>
          <w:i/>
          <w:iCs/>
        </w:rPr>
        <w:t>cit</w:t>
      </w:r>
      <w:r w:rsidR="001E1F0F">
        <w:rPr>
          <w:i/>
          <w:iCs/>
        </w:rPr>
        <w:t>.</w:t>
      </w:r>
      <w:r w:rsidR="001E1F0F" w:rsidRPr="002F38F4">
        <w:t xml:space="preserve">(fn.1), </w:t>
      </w:r>
      <w:r w:rsidRPr="001E7B1D">
        <w:t>pp.9-29.</w:t>
      </w:r>
    </w:p>
  </w:footnote>
  <w:footnote w:id="31">
    <w:p w14:paraId="0DCBFAA1" w14:textId="4C138470" w:rsidR="00EF402D" w:rsidRPr="001B1DFE" w:rsidRDefault="00EF402D" w:rsidP="00EF402D">
      <w:pPr>
        <w:pStyle w:val="FootnoteText"/>
        <w:jc w:val="both"/>
      </w:pPr>
      <w:r w:rsidRPr="001B1DFE">
        <w:rPr>
          <w:rStyle w:val="FootnoteReference"/>
        </w:rPr>
        <w:footnoteRef/>
      </w:r>
      <w:r w:rsidRPr="001B1DFE">
        <w:t xml:space="preserve"> </w:t>
      </w:r>
      <w:proofErr w:type="spellStart"/>
      <w:r w:rsidRPr="001B1DFE">
        <w:t>Pfersmann</w:t>
      </w:r>
      <w:proofErr w:type="spellEnd"/>
      <w:r w:rsidRPr="001B1DFE">
        <w:t xml:space="preserve">, </w:t>
      </w:r>
      <w:r w:rsidR="00FF6BCE" w:rsidRPr="001E7B1D">
        <w:rPr>
          <w:rFonts w:cs="Stone Serif ITC"/>
          <w:i/>
          <w:iCs/>
          <w:color w:val="000000"/>
        </w:rPr>
        <w:t>op.</w:t>
      </w:r>
      <w:r w:rsidR="00FF6BCE">
        <w:rPr>
          <w:rFonts w:cs="Stone Serif ITC"/>
          <w:i/>
          <w:iCs/>
          <w:color w:val="000000"/>
        </w:rPr>
        <w:t xml:space="preserve"> </w:t>
      </w:r>
      <w:r w:rsidR="00FF6BCE" w:rsidRPr="001E7B1D">
        <w:rPr>
          <w:rFonts w:cs="Stone Serif ITC"/>
          <w:i/>
          <w:iCs/>
          <w:color w:val="000000"/>
        </w:rPr>
        <w:t>cit.</w:t>
      </w:r>
      <w:r w:rsidR="00FF6BCE" w:rsidRPr="001E7B1D">
        <w:rPr>
          <w:rFonts w:cs="Stone Serif ITC"/>
          <w:color w:val="000000"/>
        </w:rPr>
        <w:t xml:space="preserve"> (fn.</w:t>
      </w:r>
      <w:r w:rsidR="00FF6BCE">
        <w:rPr>
          <w:rFonts w:cs="Stone Serif ITC"/>
          <w:color w:val="000000"/>
        </w:rPr>
        <w:t>2</w:t>
      </w:r>
      <w:r w:rsidR="002D601A">
        <w:rPr>
          <w:rFonts w:cs="Stone Serif ITC"/>
          <w:color w:val="000000"/>
        </w:rPr>
        <w:t>5</w:t>
      </w:r>
      <w:r w:rsidR="00FF6BCE" w:rsidRPr="001E7B1D">
        <w:rPr>
          <w:rFonts w:cs="Stone Serif ITC"/>
          <w:color w:val="000000"/>
        </w:rPr>
        <w:t>),</w:t>
      </w:r>
      <w:r w:rsidR="00FF6BCE" w:rsidRPr="001E7B1D">
        <w:rPr>
          <w:rFonts w:eastAsiaTheme="minorHAnsi"/>
          <w:lang w:val="en-GB" w:eastAsia="en-US"/>
        </w:rPr>
        <w:t xml:space="preserve"> </w:t>
      </w:r>
      <w:r w:rsidRPr="001B1DFE">
        <w:t xml:space="preserve">p.53. </w:t>
      </w:r>
    </w:p>
  </w:footnote>
  <w:footnote w:id="32">
    <w:p w14:paraId="655AAE5B" w14:textId="130501F4" w:rsidR="00EF402D" w:rsidRPr="001B1DFE" w:rsidRDefault="00EF402D" w:rsidP="00EF402D">
      <w:pPr>
        <w:jc w:val="both"/>
        <w:rPr>
          <w:sz w:val="20"/>
          <w:szCs w:val="20"/>
          <w:lang w:val="en-US"/>
        </w:rPr>
      </w:pPr>
      <w:r w:rsidRPr="001B1DFE">
        <w:rPr>
          <w:rStyle w:val="FootnoteReference"/>
          <w:sz w:val="20"/>
          <w:szCs w:val="20"/>
          <w:lang w:val="en-US"/>
        </w:rPr>
        <w:footnoteRef/>
      </w:r>
      <w:r w:rsidRPr="001B1DFE">
        <w:rPr>
          <w:sz w:val="20"/>
          <w:szCs w:val="20"/>
          <w:lang w:val="en-US"/>
        </w:rPr>
        <w:t xml:space="preserve"> See</w:t>
      </w:r>
      <w:r w:rsidR="00FF6BCE">
        <w:rPr>
          <w:sz w:val="20"/>
          <w:szCs w:val="20"/>
          <w:lang w:val="en-US"/>
        </w:rPr>
        <w:t xml:space="preserve"> </w:t>
      </w:r>
      <w:r w:rsidRPr="001B1DFE">
        <w:rPr>
          <w:sz w:val="20"/>
          <w:szCs w:val="20"/>
          <w:lang w:val="en-US"/>
        </w:rPr>
        <w:t>Beširević,</w:t>
      </w:r>
      <w:r w:rsidRPr="001B1DFE">
        <w:rPr>
          <w:rStyle w:val="apple-style-span"/>
          <w:sz w:val="20"/>
          <w:szCs w:val="20"/>
          <w:lang w:val="en-US"/>
        </w:rPr>
        <w:t xml:space="preserve"> </w:t>
      </w:r>
      <w:r w:rsidR="00FF6BCE">
        <w:rPr>
          <w:rStyle w:val="apple-style-span"/>
          <w:sz w:val="20"/>
          <w:szCs w:val="20"/>
          <w:lang w:val="en-US"/>
        </w:rPr>
        <w:t>V.,</w:t>
      </w:r>
      <w:r w:rsidRPr="00FF6BCE">
        <w:rPr>
          <w:rStyle w:val="apple-style-span"/>
          <w:i/>
          <w:iCs/>
          <w:sz w:val="20"/>
          <w:szCs w:val="20"/>
          <w:lang w:val="en-US"/>
        </w:rPr>
        <w:t>A Short Guide to Militant Democracy: Some Remarks on the Strasbourg Jurisprudence</w:t>
      </w:r>
      <w:r w:rsidRPr="001B1DFE">
        <w:rPr>
          <w:rStyle w:val="apple-style-span"/>
          <w:i/>
          <w:sz w:val="20"/>
          <w:szCs w:val="20"/>
          <w:lang w:val="en-US"/>
        </w:rPr>
        <w:t xml:space="preserve">, </w:t>
      </w:r>
      <w:r w:rsidRPr="001B1DFE">
        <w:rPr>
          <w:rStyle w:val="apple-style-span"/>
          <w:sz w:val="20"/>
          <w:szCs w:val="20"/>
          <w:lang w:val="en-US"/>
        </w:rPr>
        <w:t>in</w:t>
      </w:r>
      <w:r w:rsidR="00B87532">
        <w:rPr>
          <w:rStyle w:val="apple-style-span"/>
          <w:sz w:val="20"/>
          <w:szCs w:val="20"/>
          <w:lang w:val="en-US"/>
        </w:rPr>
        <w:t>:</w:t>
      </w:r>
      <w:r w:rsidRPr="001B1DFE">
        <w:rPr>
          <w:sz w:val="20"/>
          <w:szCs w:val="20"/>
          <w:lang w:val="en-US"/>
        </w:rPr>
        <w:t xml:space="preserve"> </w:t>
      </w:r>
      <w:proofErr w:type="spellStart"/>
      <w:r w:rsidRPr="001B1DFE">
        <w:rPr>
          <w:sz w:val="20"/>
          <w:szCs w:val="20"/>
          <w:lang w:val="en-US"/>
        </w:rPr>
        <w:t>Benedek</w:t>
      </w:r>
      <w:proofErr w:type="spellEnd"/>
      <w:r w:rsidRPr="001B1DFE">
        <w:rPr>
          <w:sz w:val="20"/>
          <w:szCs w:val="20"/>
          <w:lang w:val="en-US"/>
        </w:rPr>
        <w:t>,</w:t>
      </w:r>
      <w:r w:rsidR="00B87532">
        <w:rPr>
          <w:sz w:val="20"/>
          <w:szCs w:val="20"/>
          <w:lang w:val="en-US"/>
        </w:rPr>
        <w:t xml:space="preserve"> W.; </w:t>
      </w:r>
      <w:r w:rsidRPr="001B1DFE">
        <w:rPr>
          <w:sz w:val="20"/>
          <w:szCs w:val="20"/>
          <w:lang w:val="en-US"/>
        </w:rPr>
        <w:t>Benoît-Rohmer,</w:t>
      </w:r>
      <w:r w:rsidR="00333DB3">
        <w:rPr>
          <w:sz w:val="20"/>
          <w:szCs w:val="20"/>
          <w:lang w:val="en-US"/>
        </w:rPr>
        <w:t xml:space="preserve"> </w:t>
      </w:r>
      <w:r w:rsidR="00B87532">
        <w:rPr>
          <w:sz w:val="20"/>
          <w:szCs w:val="20"/>
          <w:lang w:val="en-US"/>
        </w:rPr>
        <w:t xml:space="preserve">F.; </w:t>
      </w:r>
      <w:r w:rsidRPr="001B1DFE">
        <w:rPr>
          <w:sz w:val="20"/>
          <w:szCs w:val="20"/>
          <w:lang w:val="en-US"/>
        </w:rPr>
        <w:t>Karl</w:t>
      </w:r>
      <w:r w:rsidR="00B87532">
        <w:rPr>
          <w:sz w:val="20"/>
          <w:szCs w:val="20"/>
          <w:lang w:val="en-US"/>
        </w:rPr>
        <w:t>,</w:t>
      </w:r>
      <w:r w:rsidR="00333DB3">
        <w:rPr>
          <w:sz w:val="20"/>
          <w:szCs w:val="20"/>
          <w:lang w:val="en-US"/>
        </w:rPr>
        <w:t xml:space="preserve"> </w:t>
      </w:r>
      <w:r w:rsidR="00B87532">
        <w:rPr>
          <w:sz w:val="20"/>
          <w:szCs w:val="20"/>
          <w:lang w:val="en-US"/>
        </w:rPr>
        <w:t>W.;</w:t>
      </w:r>
      <w:r w:rsidRPr="001B1DFE">
        <w:rPr>
          <w:sz w:val="20"/>
          <w:szCs w:val="20"/>
          <w:lang w:val="en-US"/>
        </w:rPr>
        <w:t xml:space="preserve"> Nowak</w:t>
      </w:r>
      <w:r w:rsidR="00B87532">
        <w:rPr>
          <w:sz w:val="20"/>
          <w:szCs w:val="20"/>
          <w:lang w:val="en-US"/>
        </w:rPr>
        <w:t>, M.</w:t>
      </w:r>
      <w:r w:rsidRPr="001B1DFE">
        <w:rPr>
          <w:sz w:val="20"/>
          <w:szCs w:val="20"/>
          <w:lang w:val="en-US"/>
        </w:rPr>
        <w:t xml:space="preserve"> (eds.), </w:t>
      </w:r>
      <w:r w:rsidRPr="001B1DFE">
        <w:rPr>
          <w:rStyle w:val="apple-style-span"/>
          <w:i/>
          <w:sz w:val="20"/>
          <w:szCs w:val="20"/>
          <w:lang w:val="en-US"/>
        </w:rPr>
        <w:t>European Yearbook of Human Rights 2012</w:t>
      </w:r>
      <w:r w:rsidRPr="001B1DFE">
        <w:rPr>
          <w:rStyle w:val="apple-style-span"/>
          <w:sz w:val="20"/>
          <w:szCs w:val="20"/>
          <w:lang w:val="en-US"/>
        </w:rPr>
        <w:t xml:space="preserve">, </w:t>
      </w:r>
      <w:proofErr w:type="spellStart"/>
      <w:r w:rsidRPr="001B1DFE">
        <w:rPr>
          <w:sz w:val="20"/>
          <w:szCs w:val="20"/>
          <w:lang w:val="en-US"/>
        </w:rPr>
        <w:t>Intersentia</w:t>
      </w:r>
      <w:proofErr w:type="spellEnd"/>
      <w:r w:rsidR="00B87532">
        <w:rPr>
          <w:sz w:val="20"/>
          <w:szCs w:val="20"/>
          <w:lang w:val="en-US"/>
        </w:rPr>
        <w:t xml:space="preserve">, </w:t>
      </w:r>
      <w:r w:rsidRPr="001B1DFE">
        <w:rPr>
          <w:sz w:val="20"/>
          <w:szCs w:val="20"/>
          <w:lang w:val="en-US"/>
        </w:rPr>
        <w:t>NW Verlag</w:t>
      </w:r>
      <w:r w:rsidR="00B87532">
        <w:rPr>
          <w:sz w:val="20"/>
          <w:szCs w:val="20"/>
          <w:lang w:val="en-US"/>
        </w:rPr>
        <w:t>,</w:t>
      </w:r>
      <w:r w:rsidRPr="001B1DFE">
        <w:rPr>
          <w:sz w:val="20"/>
          <w:szCs w:val="20"/>
          <w:lang w:val="en-US"/>
        </w:rPr>
        <w:t xml:space="preserve"> </w:t>
      </w:r>
      <w:r w:rsidR="00B87532" w:rsidRPr="001B1DFE">
        <w:rPr>
          <w:rStyle w:val="apple-style-span"/>
          <w:sz w:val="20"/>
          <w:szCs w:val="20"/>
          <w:lang w:val="en-US"/>
        </w:rPr>
        <w:t>Antwerp</w:t>
      </w:r>
      <w:r w:rsidR="00B87532">
        <w:rPr>
          <w:rStyle w:val="apple-style-span"/>
          <w:sz w:val="20"/>
          <w:szCs w:val="20"/>
          <w:lang w:val="en-US"/>
        </w:rPr>
        <w:t xml:space="preserve">, </w:t>
      </w:r>
      <w:r w:rsidR="00B87532" w:rsidRPr="001B1DFE">
        <w:rPr>
          <w:rStyle w:val="apple-style-span"/>
          <w:sz w:val="20"/>
          <w:szCs w:val="20"/>
          <w:lang w:val="en-US"/>
        </w:rPr>
        <w:t>Vienna,</w:t>
      </w:r>
      <w:r w:rsidR="00B87532" w:rsidRPr="001B1DFE">
        <w:rPr>
          <w:sz w:val="20"/>
          <w:szCs w:val="20"/>
          <w:lang w:val="en-US"/>
        </w:rPr>
        <w:t xml:space="preserve"> </w:t>
      </w:r>
      <w:r w:rsidRPr="001B1DFE">
        <w:rPr>
          <w:sz w:val="20"/>
          <w:szCs w:val="20"/>
          <w:lang w:val="en-US"/>
        </w:rPr>
        <w:t>2012, pp. 243-258.</w:t>
      </w:r>
    </w:p>
  </w:footnote>
  <w:footnote w:id="33">
    <w:p w14:paraId="4E4BF5E2" w14:textId="2F4F4674" w:rsidR="006C30B1" w:rsidRPr="001B1DFE" w:rsidRDefault="006C30B1" w:rsidP="006C30B1">
      <w:pPr>
        <w:pStyle w:val="FootnoteText"/>
      </w:pPr>
      <w:r w:rsidRPr="001B1DFE">
        <w:rPr>
          <w:rStyle w:val="FootnoteReference"/>
        </w:rPr>
        <w:footnoteRef/>
      </w:r>
      <w:r w:rsidRPr="001B1DFE">
        <w:t xml:space="preserve"> For a broad discussion, see</w:t>
      </w:r>
      <w:r w:rsidR="00333DB3" w:rsidRPr="00333DB3">
        <w:rPr>
          <w:rFonts w:eastAsiaTheme="minorHAnsi"/>
          <w:lang w:eastAsia="en-US"/>
        </w:rPr>
        <w:t xml:space="preserve"> </w:t>
      </w:r>
      <w:proofErr w:type="spellStart"/>
      <w:r w:rsidR="00333DB3" w:rsidRPr="00F773EA">
        <w:rPr>
          <w:rFonts w:eastAsiaTheme="minorHAnsi"/>
          <w:lang w:eastAsia="en-US"/>
        </w:rPr>
        <w:t>Sadurski</w:t>
      </w:r>
      <w:proofErr w:type="spellEnd"/>
      <w:r w:rsidR="00333DB3" w:rsidRPr="00F773EA">
        <w:rPr>
          <w:rFonts w:eastAsiaTheme="minorHAnsi"/>
          <w:lang w:eastAsia="en-US"/>
        </w:rPr>
        <w:t xml:space="preserve">, </w:t>
      </w:r>
      <w:r w:rsidR="0053285D">
        <w:rPr>
          <w:rFonts w:eastAsiaTheme="minorHAnsi"/>
          <w:lang w:eastAsia="en-US"/>
        </w:rPr>
        <w:t xml:space="preserve">W., </w:t>
      </w:r>
      <w:r w:rsidR="00333DB3" w:rsidRPr="0053285D">
        <w:rPr>
          <w:rFonts w:eastAsiaTheme="minorHAnsi"/>
          <w:i/>
          <w:iCs/>
          <w:lang w:eastAsia="en-US"/>
        </w:rPr>
        <w:t xml:space="preserve">Adding Bite to a Bark: The Story of Article 7, EU Enlargement, and </w:t>
      </w:r>
      <w:proofErr w:type="spellStart"/>
      <w:r w:rsidR="00333DB3" w:rsidRPr="0053285D">
        <w:rPr>
          <w:rFonts w:eastAsiaTheme="minorHAnsi"/>
          <w:i/>
          <w:iCs/>
          <w:lang w:eastAsia="en-US"/>
        </w:rPr>
        <w:t>Jörg</w:t>
      </w:r>
      <w:proofErr w:type="spellEnd"/>
      <w:r w:rsidR="00333DB3" w:rsidRPr="0053285D">
        <w:rPr>
          <w:rFonts w:eastAsiaTheme="minorHAnsi"/>
          <w:i/>
          <w:iCs/>
          <w:lang w:eastAsia="en-US"/>
        </w:rPr>
        <w:t xml:space="preserve"> Haider</w:t>
      </w:r>
      <w:r w:rsidR="00333DB3">
        <w:rPr>
          <w:rFonts w:eastAsiaTheme="minorHAnsi"/>
          <w:lang w:eastAsia="en-US"/>
        </w:rPr>
        <w:t>,</w:t>
      </w:r>
      <w:r w:rsidR="00333DB3" w:rsidRPr="00F773EA">
        <w:rPr>
          <w:rFonts w:eastAsiaTheme="minorHAnsi"/>
          <w:lang w:eastAsia="en-US"/>
        </w:rPr>
        <w:t xml:space="preserve"> </w:t>
      </w:r>
      <w:r w:rsidR="00333DB3" w:rsidRPr="0053285D">
        <w:rPr>
          <w:rFonts w:eastAsiaTheme="minorHAnsi"/>
          <w:lang w:eastAsia="en-US"/>
        </w:rPr>
        <w:t>Columbia Journal of European Law</w:t>
      </w:r>
      <w:r w:rsidR="00333DB3">
        <w:rPr>
          <w:rFonts w:eastAsiaTheme="minorHAnsi"/>
          <w:lang w:eastAsia="en-US"/>
        </w:rPr>
        <w:t>,</w:t>
      </w:r>
      <w:r w:rsidR="0053285D">
        <w:rPr>
          <w:rFonts w:eastAsiaTheme="minorHAnsi"/>
          <w:lang w:eastAsia="en-US"/>
        </w:rPr>
        <w:t>v</w:t>
      </w:r>
      <w:r w:rsidR="00333DB3">
        <w:rPr>
          <w:rFonts w:eastAsiaTheme="minorHAnsi"/>
          <w:lang w:eastAsia="en-US"/>
        </w:rPr>
        <w:t xml:space="preserve">ol.16, </w:t>
      </w:r>
      <w:r w:rsidR="0053285D">
        <w:rPr>
          <w:rFonts w:eastAsiaTheme="minorHAnsi"/>
          <w:lang w:eastAsia="en-US"/>
        </w:rPr>
        <w:t>n</w:t>
      </w:r>
      <w:r w:rsidR="00333DB3">
        <w:rPr>
          <w:rFonts w:eastAsiaTheme="minorHAnsi"/>
          <w:lang w:eastAsia="en-US"/>
        </w:rPr>
        <w:t>o.3,2010</w:t>
      </w:r>
      <w:r w:rsidR="0053285D">
        <w:rPr>
          <w:rFonts w:eastAsiaTheme="minorHAnsi"/>
          <w:lang w:eastAsia="en-US"/>
        </w:rPr>
        <w:t>,</w:t>
      </w:r>
      <w:r w:rsidRPr="001B1DFE">
        <w:t xml:space="preserve"> pp.396-409.</w:t>
      </w:r>
    </w:p>
  </w:footnote>
  <w:footnote w:id="34">
    <w:p w14:paraId="0145658B" w14:textId="0921FD86" w:rsidR="00C55D0D" w:rsidRPr="001B1DFE" w:rsidRDefault="00C55D0D" w:rsidP="00C55D0D">
      <w:pPr>
        <w:pStyle w:val="FootnoteText"/>
        <w:jc w:val="both"/>
      </w:pPr>
      <w:r w:rsidRPr="001B1DFE">
        <w:rPr>
          <w:rStyle w:val="FootnoteReference"/>
        </w:rPr>
        <w:footnoteRef/>
      </w:r>
      <w:r w:rsidRPr="001B1DFE">
        <w:t xml:space="preserve"> See, </w:t>
      </w:r>
      <w:r w:rsidRPr="001B1DFE">
        <w:rPr>
          <w:i/>
          <w:iCs/>
        </w:rPr>
        <w:t>e.g</w:t>
      </w:r>
      <w:r w:rsidRPr="001B1DFE">
        <w:t xml:space="preserve">., </w:t>
      </w:r>
      <w:proofErr w:type="spellStart"/>
      <w:r w:rsidRPr="001B1DFE">
        <w:t>Dimitrijević</w:t>
      </w:r>
      <w:proofErr w:type="spellEnd"/>
      <w:r w:rsidRPr="001B1DFE">
        <w:t>,</w:t>
      </w:r>
      <w:r w:rsidR="009235E6">
        <w:t xml:space="preserve"> N.,</w:t>
      </w:r>
      <w:r w:rsidRPr="001B1DFE">
        <w:t xml:space="preserve"> </w:t>
      </w:r>
      <w:proofErr w:type="spellStart"/>
      <w:r w:rsidRPr="009235E6">
        <w:rPr>
          <w:i/>
          <w:iCs/>
        </w:rPr>
        <w:t>Militantna</w:t>
      </w:r>
      <w:proofErr w:type="spellEnd"/>
      <w:r w:rsidRPr="009235E6">
        <w:rPr>
          <w:i/>
          <w:iCs/>
        </w:rPr>
        <w:t xml:space="preserve"> </w:t>
      </w:r>
      <w:proofErr w:type="spellStart"/>
      <w:r w:rsidRPr="009235E6">
        <w:rPr>
          <w:i/>
          <w:iCs/>
        </w:rPr>
        <w:t>demokratija</w:t>
      </w:r>
      <w:proofErr w:type="spellEnd"/>
      <w:r w:rsidRPr="009235E6">
        <w:rPr>
          <w:i/>
          <w:iCs/>
        </w:rPr>
        <w:t xml:space="preserve">, </w:t>
      </w:r>
      <w:proofErr w:type="spellStart"/>
      <w:r w:rsidRPr="009235E6">
        <w:rPr>
          <w:i/>
          <w:iCs/>
        </w:rPr>
        <w:t>konstitucionalna</w:t>
      </w:r>
      <w:proofErr w:type="spellEnd"/>
      <w:r w:rsidRPr="009235E6">
        <w:rPr>
          <w:i/>
          <w:iCs/>
        </w:rPr>
        <w:t xml:space="preserve"> </w:t>
      </w:r>
      <w:proofErr w:type="spellStart"/>
      <w:r w:rsidRPr="009235E6">
        <w:rPr>
          <w:i/>
          <w:iCs/>
        </w:rPr>
        <w:t>demokratija</w:t>
      </w:r>
      <w:proofErr w:type="spellEnd"/>
      <w:r w:rsidRPr="009235E6">
        <w:rPr>
          <w:i/>
          <w:iCs/>
        </w:rPr>
        <w:t xml:space="preserve"> </w:t>
      </w:r>
      <w:proofErr w:type="spellStart"/>
      <w:r w:rsidRPr="009235E6">
        <w:rPr>
          <w:i/>
          <w:iCs/>
        </w:rPr>
        <w:t>i</w:t>
      </w:r>
      <w:proofErr w:type="spellEnd"/>
      <w:r w:rsidRPr="009235E6">
        <w:rPr>
          <w:i/>
          <w:iCs/>
        </w:rPr>
        <w:t xml:space="preserve"> </w:t>
      </w:r>
      <w:proofErr w:type="spellStart"/>
      <w:r w:rsidRPr="009235E6">
        <w:rPr>
          <w:i/>
          <w:iCs/>
        </w:rPr>
        <w:t>osnovana</w:t>
      </w:r>
      <w:proofErr w:type="spellEnd"/>
      <w:r w:rsidRPr="009235E6">
        <w:rPr>
          <w:i/>
          <w:iCs/>
        </w:rPr>
        <w:t xml:space="preserve"> </w:t>
      </w:r>
      <w:proofErr w:type="spellStart"/>
      <w:r w:rsidRPr="009235E6">
        <w:rPr>
          <w:i/>
          <w:iCs/>
        </w:rPr>
        <w:t>prava</w:t>
      </w:r>
      <w:proofErr w:type="spellEnd"/>
      <w:r w:rsidRPr="009235E6">
        <w:rPr>
          <w:i/>
          <w:iCs/>
        </w:rPr>
        <w:t xml:space="preserve">: da li </w:t>
      </w:r>
      <w:proofErr w:type="spellStart"/>
      <w:r w:rsidRPr="009235E6">
        <w:rPr>
          <w:i/>
          <w:iCs/>
        </w:rPr>
        <w:t>su</w:t>
      </w:r>
      <w:proofErr w:type="spellEnd"/>
      <w:r w:rsidRPr="009235E6">
        <w:rPr>
          <w:i/>
          <w:iCs/>
        </w:rPr>
        <w:t xml:space="preserve"> </w:t>
      </w:r>
      <w:proofErr w:type="spellStart"/>
      <w:r w:rsidRPr="009235E6">
        <w:rPr>
          <w:i/>
          <w:iCs/>
        </w:rPr>
        <w:t>prijatelji</w:t>
      </w:r>
      <w:proofErr w:type="spellEnd"/>
      <w:r w:rsidRPr="009235E6">
        <w:rPr>
          <w:i/>
          <w:iCs/>
        </w:rPr>
        <w:t xml:space="preserve"> </w:t>
      </w:r>
      <w:proofErr w:type="spellStart"/>
      <w:r w:rsidRPr="009235E6">
        <w:rPr>
          <w:i/>
          <w:iCs/>
        </w:rPr>
        <w:t>demokratije</w:t>
      </w:r>
      <w:proofErr w:type="spellEnd"/>
      <w:r w:rsidRPr="009235E6">
        <w:rPr>
          <w:i/>
          <w:iCs/>
        </w:rPr>
        <w:t xml:space="preserve"> </w:t>
      </w:r>
      <w:proofErr w:type="spellStart"/>
      <w:r w:rsidRPr="009235E6">
        <w:rPr>
          <w:i/>
          <w:iCs/>
        </w:rPr>
        <w:t>neprijatelji</w:t>
      </w:r>
      <w:proofErr w:type="spellEnd"/>
      <w:r w:rsidRPr="009235E6">
        <w:rPr>
          <w:i/>
          <w:iCs/>
        </w:rPr>
        <w:t xml:space="preserve"> </w:t>
      </w:r>
      <w:proofErr w:type="spellStart"/>
      <w:r w:rsidRPr="009235E6">
        <w:rPr>
          <w:i/>
          <w:iCs/>
        </w:rPr>
        <w:t>slobode</w:t>
      </w:r>
      <w:proofErr w:type="spellEnd"/>
      <w:r w:rsidRPr="001B1DFE">
        <w:t>?,[</w:t>
      </w:r>
      <w:r w:rsidRPr="009235E6">
        <w:rPr>
          <w:i/>
          <w:iCs/>
        </w:rPr>
        <w:t>Militant Democracy, Constitutional Democracy and Fundamental Rights: Are Friends of Democracy Enemies of Freedom?</w:t>
      </w:r>
      <w:r w:rsidRPr="009235E6">
        <w:t>]</w:t>
      </w:r>
      <w:r w:rsidRPr="001B1DFE">
        <w:t xml:space="preserve"> </w:t>
      </w:r>
      <w:r w:rsidR="009235E6">
        <w:t xml:space="preserve">in: </w:t>
      </w:r>
      <w:r w:rsidRPr="001B1DFE">
        <w:t>Beširević</w:t>
      </w:r>
      <w:r w:rsidR="009235E6">
        <w:t>, V.</w:t>
      </w:r>
      <w:r w:rsidRPr="001B1DFE">
        <w:t xml:space="preserve"> (ed.), </w:t>
      </w:r>
      <w:r w:rsidR="009235E6">
        <w:rPr>
          <w:i/>
          <w:iCs/>
        </w:rPr>
        <w:t>op</w:t>
      </w:r>
      <w:r w:rsidR="009235E6" w:rsidRPr="002F38F4">
        <w:rPr>
          <w:i/>
          <w:iCs/>
        </w:rPr>
        <w:t>.</w:t>
      </w:r>
      <w:r w:rsidR="009235E6">
        <w:rPr>
          <w:i/>
          <w:iCs/>
        </w:rPr>
        <w:t xml:space="preserve"> </w:t>
      </w:r>
      <w:r w:rsidR="009235E6" w:rsidRPr="002F38F4">
        <w:rPr>
          <w:i/>
          <w:iCs/>
        </w:rPr>
        <w:t>cit</w:t>
      </w:r>
      <w:r w:rsidR="009235E6">
        <w:rPr>
          <w:i/>
          <w:iCs/>
        </w:rPr>
        <w:t>.</w:t>
      </w:r>
      <w:r w:rsidR="009235E6" w:rsidRPr="002F38F4">
        <w:t>(fn.1)</w:t>
      </w:r>
      <w:r w:rsidR="009235E6">
        <w:t xml:space="preserve">, </w:t>
      </w:r>
      <w:r w:rsidRPr="001B1DFE">
        <w:t xml:space="preserve">pp.31-60. </w:t>
      </w:r>
    </w:p>
  </w:footnote>
  <w:footnote w:id="35">
    <w:p w14:paraId="5E553C6B" w14:textId="7913DD98" w:rsidR="00C55D0D" w:rsidRPr="001B1DFE" w:rsidRDefault="00C55D0D" w:rsidP="00C55D0D">
      <w:pPr>
        <w:pStyle w:val="FootnoteText"/>
        <w:jc w:val="both"/>
      </w:pPr>
      <w:r w:rsidRPr="001B1DFE">
        <w:rPr>
          <w:rStyle w:val="FootnoteReference"/>
        </w:rPr>
        <w:footnoteRef/>
      </w:r>
      <w:r w:rsidRPr="001B1DFE">
        <w:t xml:space="preserve"> Loewenstein,</w:t>
      </w:r>
      <w:r w:rsidR="009235E6">
        <w:t xml:space="preserve"> K.,</w:t>
      </w:r>
      <w:r w:rsidRPr="001B1DFE">
        <w:t xml:space="preserve"> </w:t>
      </w:r>
      <w:r w:rsidRPr="009235E6">
        <w:rPr>
          <w:i/>
          <w:iCs/>
        </w:rPr>
        <w:t>Militant Democracy and Fundamental Rights I</w:t>
      </w:r>
      <w:r w:rsidRPr="001B1DFE">
        <w:t>,</w:t>
      </w:r>
      <w:r w:rsidR="009235E6">
        <w:t xml:space="preserve"> </w:t>
      </w:r>
      <w:r w:rsidR="009235E6">
        <w:rPr>
          <w:i/>
          <w:iCs/>
        </w:rPr>
        <w:t>op</w:t>
      </w:r>
      <w:r w:rsidR="009235E6" w:rsidRPr="002F38F4">
        <w:rPr>
          <w:i/>
          <w:iCs/>
        </w:rPr>
        <w:t>.</w:t>
      </w:r>
      <w:r w:rsidR="009235E6">
        <w:rPr>
          <w:i/>
          <w:iCs/>
        </w:rPr>
        <w:t xml:space="preserve"> </w:t>
      </w:r>
      <w:r w:rsidR="009235E6" w:rsidRPr="002F38F4">
        <w:rPr>
          <w:i/>
          <w:iCs/>
        </w:rPr>
        <w:t>cit</w:t>
      </w:r>
      <w:r w:rsidR="009235E6">
        <w:rPr>
          <w:i/>
          <w:iCs/>
        </w:rPr>
        <w:t>.</w:t>
      </w:r>
      <w:r w:rsidR="009235E6" w:rsidRPr="002F38F4">
        <w:t>(fn.</w:t>
      </w:r>
      <w:r w:rsidR="009235E6">
        <w:t>2</w:t>
      </w:r>
      <w:r w:rsidR="002D601A">
        <w:t>6</w:t>
      </w:r>
      <w:r w:rsidR="009235E6" w:rsidRPr="002F38F4">
        <w:t>)</w:t>
      </w:r>
      <w:r w:rsidR="009235E6">
        <w:t>,</w:t>
      </w:r>
      <w:r w:rsidRPr="001B1DFE">
        <w:t>p.243.</w:t>
      </w:r>
    </w:p>
  </w:footnote>
  <w:footnote w:id="36">
    <w:p w14:paraId="7BA6D826" w14:textId="30B514FA" w:rsidR="00C01109" w:rsidRPr="00C01109" w:rsidRDefault="00881E8E" w:rsidP="00C01109">
      <w:pPr>
        <w:jc w:val="both"/>
        <w:rPr>
          <w:sz w:val="20"/>
          <w:szCs w:val="20"/>
          <w:lang w:val="en-US"/>
        </w:rPr>
      </w:pPr>
      <w:r w:rsidRPr="00C01109">
        <w:rPr>
          <w:rStyle w:val="FootnoteReference"/>
          <w:sz w:val="20"/>
          <w:szCs w:val="20"/>
        </w:rPr>
        <w:footnoteRef/>
      </w:r>
      <w:r w:rsidRPr="00C01109">
        <w:rPr>
          <w:sz w:val="20"/>
          <w:szCs w:val="20"/>
        </w:rPr>
        <w:t xml:space="preserve"> Kelsen, H., </w:t>
      </w:r>
      <w:r w:rsidRPr="00C01109">
        <w:rPr>
          <w:i/>
          <w:iCs/>
          <w:sz w:val="20"/>
          <w:szCs w:val="20"/>
        </w:rPr>
        <w:t>The Essence and Value of Democ</w:t>
      </w:r>
      <w:r w:rsidRPr="00C01109">
        <w:rPr>
          <w:sz w:val="20"/>
          <w:szCs w:val="20"/>
        </w:rPr>
        <w:t xml:space="preserve">racy, </w:t>
      </w:r>
      <w:r w:rsidRPr="00C01109">
        <w:rPr>
          <w:sz w:val="20"/>
          <w:szCs w:val="20"/>
          <w:shd w:val="clear" w:color="auto" w:fill="FFFFFF"/>
        </w:rPr>
        <w:t>Urbinati,</w:t>
      </w:r>
      <w:r w:rsidRPr="00C01109">
        <w:rPr>
          <w:sz w:val="20"/>
          <w:szCs w:val="20"/>
          <w:shd w:val="clear" w:color="auto" w:fill="FFFFFF"/>
          <w:lang w:val="en-US"/>
        </w:rPr>
        <w:t xml:space="preserve"> N.;</w:t>
      </w:r>
      <w:r w:rsidRPr="00C01109">
        <w:rPr>
          <w:sz w:val="20"/>
          <w:szCs w:val="20"/>
          <w:shd w:val="clear" w:color="auto" w:fill="FFFFFF"/>
        </w:rPr>
        <w:t xml:space="preserve"> Accetti, </w:t>
      </w:r>
      <w:r w:rsidRPr="00C01109">
        <w:rPr>
          <w:sz w:val="20"/>
          <w:szCs w:val="20"/>
          <w:shd w:val="clear" w:color="auto" w:fill="FFFFFF"/>
          <w:lang w:val="en-US"/>
        </w:rPr>
        <w:t>C.I. (eds),</w:t>
      </w:r>
      <w:r w:rsidRPr="00C01109">
        <w:rPr>
          <w:sz w:val="20"/>
          <w:szCs w:val="20"/>
          <w:shd w:val="clear" w:color="auto" w:fill="FFFFFF"/>
        </w:rPr>
        <w:t xml:space="preserve"> Graf,</w:t>
      </w:r>
      <w:r w:rsidRPr="00C01109">
        <w:rPr>
          <w:sz w:val="20"/>
          <w:szCs w:val="20"/>
          <w:shd w:val="clear" w:color="auto" w:fill="FFFFFF"/>
          <w:lang w:val="en-US"/>
        </w:rPr>
        <w:t xml:space="preserve">B. </w:t>
      </w:r>
      <w:r w:rsidR="00C01109">
        <w:rPr>
          <w:sz w:val="20"/>
          <w:szCs w:val="20"/>
          <w:shd w:val="clear" w:color="auto" w:fill="FFFFFF"/>
          <w:lang w:val="en-US"/>
        </w:rPr>
        <w:t>(t</w:t>
      </w:r>
      <w:r w:rsidRPr="00C01109">
        <w:rPr>
          <w:sz w:val="20"/>
          <w:szCs w:val="20"/>
          <w:shd w:val="clear" w:color="auto" w:fill="FFFFFF"/>
          <w:lang w:val="en-US"/>
        </w:rPr>
        <w:t>ransl.</w:t>
      </w:r>
      <w:r w:rsidR="00C01109">
        <w:rPr>
          <w:sz w:val="20"/>
          <w:szCs w:val="20"/>
          <w:shd w:val="clear" w:color="auto" w:fill="FFFFFF"/>
          <w:lang w:val="en-US"/>
        </w:rPr>
        <w:t>)</w:t>
      </w:r>
      <w:r w:rsidRPr="00C01109">
        <w:rPr>
          <w:sz w:val="20"/>
          <w:szCs w:val="20"/>
          <w:shd w:val="clear" w:color="auto" w:fill="FFFFFF"/>
          <w:lang w:val="en-US"/>
        </w:rPr>
        <w:t>,</w:t>
      </w:r>
      <w:r w:rsidR="00C01109" w:rsidRPr="00C01109">
        <w:rPr>
          <w:sz w:val="20"/>
          <w:szCs w:val="20"/>
          <w:shd w:val="clear" w:color="auto" w:fill="FFFFFF"/>
        </w:rPr>
        <w:t xml:space="preserve"> </w:t>
      </w:r>
      <w:r w:rsidR="00C01109" w:rsidRPr="00C01109">
        <w:rPr>
          <w:rStyle w:val="a-text-bold"/>
          <w:sz w:val="20"/>
          <w:szCs w:val="20"/>
          <w:shd w:val="clear" w:color="auto" w:fill="FFFFFF"/>
        </w:rPr>
        <w:t> </w:t>
      </w:r>
      <w:r w:rsidR="00C01109" w:rsidRPr="00C01109">
        <w:rPr>
          <w:sz w:val="20"/>
          <w:szCs w:val="20"/>
          <w:shd w:val="clear" w:color="auto" w:fill="FFFFFF"/>
        </w:rPr>
        <w:t>Rowman &amp; Littlefield Publishers</w:t>
      </w:r>
      <w:r w:rsidR="00C01109" w:rsidRPr="00C01109">
        <w:rPr>
          <w:sz w:val="20"/>
          <w:szCs w:val="20"/>
          <w:shd w:val="clear" w:color="auto" w:fill="FFFFFF"/>
          <w:lang w:val="en-US"/>
        </w:rPr>
        <w:t xml:space="preserve">, 2013. </w:t>
      </w:r>
    </w:p>
    <w:p w14:paraId="1D2F26E3" w14:textId="4ABF1F97" w:rsidR="00881E8E" w:rsidRPr="00C01109" w:rsidRDefault="00881E8E" w:rsidP="00C01109">
      <w:pPr>
        <w:jc w:val="both"/>
        <w:rPr>
          <w:sz w:val="20"/>
          <w:szCs w:val="20"/>
          <w:lang w:val="en-US"/>
        </w:rPr>
      </w:pPr>
    </w:p>
    <w:p w14:paraId="74EEC70E" w14:textId="34F3869E" w:rsidR="00881E8E" w:rsidRDefault="00881E8E">
      <w:pPr>
        <w:pStyle w:val="FootnoteText"/>
      </w:pPr>
    </w:p>
  </w:footnote>
  <w:footnote w:id="37">
    <w:p w14:paraId="16776BB4" w14:textId="60BEA1D8" w:rsidR="00E30C0F" w:rsidRPr="003A2C4F" w:rsidRDefault="00E30C0F" w:rsidP="003A2C4F">
      <w:pPr>
        <w:pStyle w:val="FootnoteText"/>
        <w:jc w:val="both"/>
      </w:pPr>
      <w:r>
        <w:rPr>
          <w:rStyle w:val="FootnoteReference"/>
        </w:rPr>
        <w:footnoteRef/>
      </w:r>
      <w:r>
        <w:t xml:space="preserve"> </w:t>
      </w:r>
      <w:r w:rsidRPr="003A2C4F">
        <w:rPr>
          <w:rFonts w:eastAsiaTheme="minorHAnsi"/>
          <w:lang w:eastAsia="en-US"/>
        </w:rPr>
        <w:t xml:space="preserve">Ginsburg, T.; Huq, A., </w:t>
      </w:r>
      <w:r w:rsidRPr="003A2C4F">
        <w:rPr>
          <w:rFonts w:eastAsiaTheme="minorHAnsi"/>
          <w:i/>
          <w:iCs/>
          <w:lang w:eastAsia="en-US"/>
        </w:rPr>
        <w:t>op. cit.</w:t>
      </w:r>
      <w:r w:rsidRPr="003A2C4F">
        <w:rPr>
          <w:rFonts w:eastAsiaTheme="minorHAnsi"/>
          <w:lang w:eastAsia="en-US"/>
        </w:rPr>
        <w:t xml:space="preserve"> (fn.</w:t>
      </w:r>
      <w:r w:rsidR="002D601A">
        <w:rPr>
          <w:rFonts w:eastAsiaTheme="minorHAnsi"/>
          <w:lang w:eastAsia="en-US"/>
        </w:rPr>
        <w:t>10</w:t>
      </w:r>
      <w:r w:rsidRPr="003A2C4F">
        <w:rPr>
          <w:rFonts w:eastAsiaTheme="minorHAnsi"/>
          <w:lang w:eastAsia="en-US"/>
        </w:rPr>
        <w:t xml:space="preserve">), </w:t>
      </w:r>
      <w:r w:rsidRPr="003A2C4F">
        <w:t>p.171.</w:t>
      </w:r>
    </w:p>
  </w:footnote>
  <w:footnote w:id="38">
    <w:p w14:paraId="3E2A79DC" w14:textId="7E23E48D" w:rsidR="00E30C0F" w:rsidRPr="003A2C4F" w:rsidRDefault="00E30C0F" w:rsidP="003A2C4F">
      <w:pPr>
        <w:pStyle w:val="FootnoteText"/>
        <w:jc w:val="both"/>
      </w:pPr>
      <w:r w:rsidRPr="003A2C4F">
        <w:rPr>
          <w:rStyle w:val="FootnoteReference"/>
        </w:rPr>
        <w:footnoteRef/>
      </w:r>
      <w:r w:rsidRPr="003A2C4F">
        <w:t xml:space="preserve"> </w:t>
      </w:r>
      <w:r w:rsidRPr="003A2C4F">
        <w:rPr>
          <w:i/>
          <w:iCs/>
        </w:rPr>
        <w:t>Ibid</w:t>
      </w:r>
      <w:r w:rsidRPr="003A2C4F">
        <w:t>.</w:t>
      </w:r>
    </w:p>
  </w:footnote>
  <w:footnote w:id="39">
    <w:p w14:paraId="633C68ED" w14:textId="3A8DF6D3" w:rsidR="003A2C4F" w:rsidRPr="003A2C4F" w:rsidRDefault="003A2C4F" w:rsidP="003A2C4F">
      <w:pPr>
        <w:autoSpaceDE w:val="0"/>
        <w:autoSpaceDN w:val="0"/>
        <w:adjustRightInd w:val="0"/>
        <w:jc w:val="both"/>
        <w:rPr>
          <w:rFonts w:eastAsiaTheme="minorHAnsi"/>
          <w:sz w:val="20"/>
          <w:szCs w:val="20"/>
          <w:lang w:eastAsia="en-US"/>
        </w:rPr>
      </w:pPr>
      <w:r>
        <w:rPr>
          <w:rStyle w:val="FootnoteReference"/>
        </w:rPr>
        <w:footnoteRef/>
      </w:r>
      <w:r>
        <w:rPr>
          <w:rFonts w:eastAsiaTheme="minorHAnsi"/>
          <w:sz w:val="20"/>
          <w:szCs w:val="20"/>
          <w:lang w:eastAsia="en-US"/>
        </w:rPr>
        <w:t xml:space="preserve"> </w:t>
      </w:r>
      <w:r w:rsidRPr="003A2C4F">
        <w:rPr>
          <w:rFonts w:eastAsiaTheme="minorHAnsi"/>
          <w:sz w:val="20"/>
          <w:szCs w:val="20"/>
          <w:lang w:eastAsia="en-US"/>
        </w:rPr>
        <w:t xml:space="preserve">For a detailed discussion on the relationship between </w:t>
      </w:r>
      <w:r>
        <w:rPr>
          <w:rFonts w:eastAsiaTheme="minorHAnsi"/>
          <w:sz w:val="20"/>
          <w:szCs w:val="20"/>
          <w:lang w:eastAsia="en-US"/>
        </w:rPr>
        <w:t>‘</w:t>
      </w:r>
      <w:r w:rsidRPr="003A2C4F">
        <w:rPr>
          <w:rFonts w:eastAsiaTheme="minorHAnsi"/>
          <w:sz w:val="20"/>
          <w:szCs w:val="20"/>
          <w:lang w:eastAsia="en-US"/>
        </w:rPr>
        <w:t>war on terrorism</w:t>
      </w:r>
      <w:r>
        <w:rPr>
          <w:rFonts w:eastAsiaTheme="minorHAnsi"/>
          <w:sz w:val="20"/>
          <w:szCs w:val="20"/>
          <w:lang w:eastAsia="en-US"/>
        </w:rPr>
        <w:t>’</w:t>
      </w:r>
      <w:r w:rsidRPr="003A2C4F">
        <w:rPr>
          <w:rFonts w:eastAsiaTheme="minorHAnsi"/>
          <w:sz w:val="20"/>
          <w:szCs w:val="20"/>
          <w:lang w:eastAsia="en-US"/>
        </w:rPr>
        <w:t xml:space="preserve"> and militant democracy see Roach, </w:t>
      </w:r>
      <w:r>
        <w:rPr>
          <w:rFonts w:eastAsiaTheme="minorHAnsi"/>
          <w:lang w:eastAsia="en-US"/>
        </w:rPr>
        <w:t xml:space="preserve">K., </w:t>
      </w:r>
      <w:r w:rsidRPr="003A2C4F">
        <w:rPr>
          <w:rFonts w:eastAsiaTheme="minorHAnsi"/>
          <w:i/>
          <w:iCs/>
          <w:sz w:val="20"/>
          <w:szCs w:val="20"/>
          <w:lang w:eastAsia="en-US"/>
        </w:rPr>
        <w:t>Anti-Terrorism and Militant Democracy</w:t>
      </w:r>
      <w:r w:rsidRPr="003A2C4F">
        <w:rPr>
          <w:rFonts w:eastAsiaTheme="minorHAnsi"/>
          <w:sz w:val="20"/>
          <w:szCs w:val="20"/>
          <w:lang w:eastAsia="en-US"/>
        </w:rPr>
        <w:t>, in</w:t>
      </w:r>
      <w:r>
        <w:rPr>
          <w:rFonts w:eastAsiaTheme="minorHAnsi"/>
          <w:lang w:eastAsia="en-US"/>
        </w:rPr>
        <w:t>:</w:t>
      </w:r>
      <w:r w:rsidRPr="003A2C4F">
        <w:rPr>
          <w:rFonts w:eastAsiaTheme="minorHAnsi"/>
          <w:sz w:val="20"/>
          <w:szCs w:val="20"/>
          <w:lang w:eastAsia="en-US"/>
        </w:rPr>
        <w:t xml:space="preserve"> </w:t>
      </w:r>
      <w:r w:rsidRPr="001E7B1D">
        <w:rPr>
          <w:rFonts w:cs="Stone Serif ITC"/>
          <w:color w:val="000000"/>
          <w:sz w:val="20"/>
          <w:szCs w:val="20"/>
        </w:rPr>
        <w:t xml:space="preserve">Sajó, A. (ed.), </w:t>
      </w:r>
      <w:r w:rsidRPr="001E7B1D">
        <w:rPr>
          <w:rFonts w:cs="Stone Serif ITC"/>
          <w:i/>
          <w:iCs/>
          <w:color w:val="000000"/>
          <w:sz w:val="20"/>
          <w:szCs w:val="20"/>
        </w:rPr>
        <w:t>Militant Democracy</w:t>
      </w:r>
      <w:r w:rsidRPr="001E7B1D">
        <w:rPr>
          <w:rFonts w:cs="Stone Serif ITC"/>
          <w:color w:val="000000"/>
          <w:sz w:val="20"/>
          <w:szCs w:val="20"/>
        </w:rPr>
        <w:t xml:space="preserve">, </w:t>
      </w:r>
      <w:r w:rsidRPr="001E7B1D">
        <w:rPr>
          <w:rFonts w:cs="Stone Serif ITC"/>
          <w:i/>
          <w:iCs/>
          <w:color w:val="000000"/>
          <w:sz w:val="20"/>
          <w:szCs w:val="20"/>
        </w:rPr>
        <w:t>op.</w:t>
      </w:r>
      <w:r>
        <w:rPr>
          <w:rFonts w:cs="Stone Serif ITC"/>
          <w:i/>
          <w:iCs/>
          <w:color w:val="000000"/>
        </w:rPr>
        <w:t xml:space="preserve"> </w:t>
      </w:r>
      <w:r w:rsidRPr="001E7B1D">
        <w:rPr>
          <w:rFonts w:cs="Stone Serif ITC"/>
          <w:i/>
          <w:iCs/>
          <w:color w:val="000000"/>
          <w:sz w:val="20"/>
          <w:szCs w:val="20"/>
        </w:rPr>
        <w:t>cit.</w:t>
      </w:r>
      <w:r w:rsidRPr="001E7B1D">
        <w:rPr>
          <w:rFonts w:cs="Stone Serif ITC"/>
          <w:color w:val="000000"/>
          <w:sz w:val="20"/>
          <w:szCs w:val="20"/>
        </w:rPr>
        <w:t xml:space="preserve"> (fn.1</w:t>
      </w:r>
      <w:r w:rsidRPr="003A2C4F">
        <w:rPr>
          <w:rFonts w:cs="Stone Serif ITC"/>
          <w:color w:val="000000"/>
          <w:sz w:val="20"/>
          <w:szCs w:val="20"/>
        </w:rPr>
        <w:t>),</w:t>
      </w:r>
      <w:r w:rsidRPr="003A2C4F">
        <w:rPr>
          <w:rFonts w:eastAsiaTheme="minorHAnsi"/>
          <w:sz w:val="20"/>
          <w:szCs w:val="20"/>
          <w:lang w:eastAsia="en-US"/>
        </w:rPr>
        <w:t>pp.171-207.</w:t>
      </w:r>
    </w:p>
  </w:footnote>
  <w:footnote w:id="40">
    <w:p w14:paraId="7BACF3D8" w14:textId="1667F079" w:rsidR="00E30C0F" w:rsidRPr="009B2884" w:rsidRDefault="00E30C0F" w:rsidP="009D348F">
      <w:pPr>
        <w:autoSpaceDE w:val="0"/>
        <w:autoSpaceDN w:val="0"/>
        <w:adjustRightInd w:val="0"/>
        <w:jc w:val="both"/>
        <w:rPr>
          <w:rFonts w:eastAsiaTheme="minorHAnsi"/>
          <w:sz w:val="20"/>
          <w:szCs w:val="20"/>
          <w:lang w:eastAsia="en-US"/>
        </w:rPr>
      </w:pPr>
      <w:r w:rsidRPr="009B2884">
        <w:rPr>
          <w:rStyle w:val="FootnoteReference"/>
          <w:sz w:val="20"/>
          <w:szCs w:val="20"/>
        </w:rPr>
        <w:footnoteRef/>
      </w:r>
      <w:r w:rsidRPr="009B2884">
        <w:rPr>
          <w:sz w:val="20"/>
          <w:szCs w:val="20"/>
        </w:rPr>
        <w:t xml:space="preserve"> </w:t>
      </w:r>
      <w:r w:rsidR="003A2C4F" w:rsidRPr="009B2884">
        <w:rPr>
          <w:rFonts w:eastAsiaTheme="minorHAnsi"/>
          <w:sz w:val="20"/>
          <w:szCs w:val="20"/>
          <w:lang w:val="en-US" w:eastAsia="en-US"/>
        </w:rPr>
        <w:t>Walker</w:t>
      </w:r>
      <w:r w:rsidR="003A2C4F" w:rsidRPr="009B2884">
        <w:rPr>
          <w:rFonts w:eastAsiaTheme="minorHAnsi"/>
          <w:sz w:val="20"/>
          <w:szCs w:val="20"/>
          <w:lang w:eastAsia="en-US"/>
        </w:rPr>
        <w:t xml:space="preserve">, C., </w:t>
      </w:r>
      <w:r w:rsidR="003A2C4F" w:rsidRPr="009B2884">
        <w:rPr>
          <w:rFonts w:eastAsiaTheme="minorHAnsi"/>
          <w:i/>
          <w:iCs/>
          <w:sz w:val="20"/>
          <w:szCs w:val="20"/>
          <w:lang w:eastAsia="en-US"/>
        </w:rPr>
        <w:t>Militant Speech about Terrorism in a Smart Militant Democracy</w:t>
      </w:r>
      <w:r w:rsidR="003A2C4F" w:rsidRPr="009B2884">
        <w:rPr>
          <w:rFonts w:eastAsiaTheme="minorHAnsi"/>
          <w:sz w:val="20"/>
          <w:szCs w:val="20"/>
          <w:lang w:eastAsia="en-US"/>
        </w:rPr>
        <w:t xml:space="preserve">, Mississippi Law Journal, vol.80, no.1, 2011, p.1452. </w:t>
      </w:r>
    </w:p>
  </w:footnote>
  <w:footnote w:id="41">
    <w:p w14:paraId="3B880536" w14:textId="6E8051C2" w:rsidR="00E30C0F" w:rsidRPr="009B2884" w:rsidRDefault="00E30C0F" w:rsidP="009D348F">
      <w:pPr>
        <w:pStyle w:val="Heading1"/>
        <w:shd w:val="clear" w:color="auto" w:fill="FFFFFF"/>
        <w:spacing w:before="0" w:beforeAutospacing="0" w:after="0" w:afterAutospacing="0"/>
        <w:jc w:val="both"/>
        <w:textAlignment w:val="baseline"/>
        <w:rPr>
          <w:b w:val="0"/>
          <w:bCs w:val="0"/>
          <w:sz w:val="20"/>
          <w:szCs w:val="20"/>
          <w:lang w:val="en-US"/>
        </w:rPr>
      </w:pPr>
      <w:r w:rsidRPr="009B2884">
        <w:rPr>
          <w:rStyle w:val="FootnoteReference"/>
          <w:b w:val="0"/>
          <w:bCs w:val="0"/>
          <w:sz w:val="20"/>
          <w:szCs w:val="20"/>
        </w:rPr>
        <w:footnoteRef/>
      </w:r>
      <w:r w:rsidR="003A2C4F" w:rsidRPr="009B2884">
        <w:rPr>
          <w:rFonts w:eastAsiaTheme="minorHAnsi"/>
          <w:b w:val="0"/>
          <w:bCs w:val="0"/>
          <w:sz w:val="20"/>
          <w:szCs w:val="20"/>
          <w:lang w:eastAsia="en-US"/>
        </w:rPr>
        <w:t>Holmes,</w:t>
      </w:r>
      <w:r w:rsidR="009B2884" w:rsidRPr="009B2884">
        <w:rPr>
          <w:rFonts w:eastAsiaTheme="minorHAnsi"/>
          <w:b w:val="0"/>
          <w:bCs w:val="0"/>
          <w:sz w:val="20"/>
          <w:szCs w:val="20"/>
          <w:lang w:eastAsia="en-US"/>
        </w:rPr>
        <w:t xml:space="preserve"> </w:t>
      </w:r>
      <w:r w:rsidR="003A2C4F" w:rsidRPr="009B2884">
        <w:rPr>
          <w:rFonts w:eastAsiaTheme="minorHAnsi"/>
          <w:b w:val="0"/>
          <w:bCs w:val="0"/>
          <w:sz w:val="20"/>
          <w:szCs w:val="20"/>
          <w:lang w:eastAsia="en-US"/>
        </w:rPr>
        <w:t xml:space="preserve">S., </w:t>
      </w:r>
      <w:r w:rsidR="009B2884" w:rsidRPr="009B2884">
        <w:rPr>
          <w:b w:val="0"/>
          <w:bCs w:val="0"/>
          <w:i/>
          <w:iCs/>
          <w:sz w:val="20"/>
          <w:szCs w:val="20"/>
        </w:rPr>
        <w:t>András Sajó (ed.), </w:t>
      </w:r>
      <w:r w:rsidR="009B2884" w:rsidRPr="009B2884">
        <w:rPr>
          <w:b w:val="0"/>
          <w:bCs w:val="0"/>
          <w:i/>
          <w:iCs/>
          <w:sz w:val="20"/>
          <w:szCs w:val="20"/>
          <w:bdr w:val="none" w:sz="0" w:space="0" w:color="auto" w:frame="1"/>
        </w:rPr>
        <w:t>Militant</w:t>
      </w:r>
      <w:r w:rsidR="009B2884" w:rsidRPr="009B2884">
        <w:rPr>
          <w:b w:val="0"/>
          <w:bCs w:val="0"/>
          <w:i/>
          <w:iCs/>
          <w:sz w:val="20"/>
          <w:szCs w:val="20"/>
          <w:bdr w:val="none" w:sz="0" w:space="0" w:color="auto" w:frame="1"/>
          <w:lang w:val="en-US"/>
        </w:rPr>
        <w:t xml:space="preserve"> </w:t>
      </w:r>
      <w:r w:rsidR="009B2884" w:rsidRPr="009B2884">
        <w:rPr>
          <w:b w:val="0"/>
          <w:bCs w:val="0"/>
          <w:i/>
          <w:iCs/>
          <w:sz w:val="20"/>
          <w:szCs w:val="20"/>
          <w:bdr w:val="none" w:sz="0" w:space="0" w:color="auto" w:frame="1"/>
        </w:rPr>
        <w:t>Democracy</w:t>
      </w:r>
      <w:r w:rsidR="009B2884" w:rsidRPr="009B2884">
        <w:rPr>
          <w:b w:val="0"/>
          <w:bCs w:val="0"/>
          <w:i/>
          <w:iCs/>
          <w:sz w:val="20"/>
          <w:szCs w:val="20"/>
        </w:rPr>
        <w:t>. Eleven International Publishing, 2004. 262 pages</w:t>
      </w:r>
      <w:r w:rsidR="009B2884" w:rsidRPr="009B2884">
        <w:rPr>
          <w:b w:val="0"/>
          <w:bCs w:val="0"/>
          <w:sz w:val="20"/>
          <w:szCs w:val="20"/>
          <w:lang w:val="en-US"/>
        </w:rPr>
        <w:t>,</w:t>
      </w:r>
      <w:r w:rsidR="009B2884">
        <w:rPr>
          <w:b w:val="0"/>
          <w:bCs w:val="0"/>
          <w:sz w:val="20"/>
          <w:szCs w:val="20"/>
          <w:lang w:val="en-US"/>
        </w:rPr>
        <w:t xml:space="preserve"> </w:t>
      </w:r>
      <w:r w:rsidR="003A2C4F" w:rsidRPr="009B2884">
        <w:rPr>
          <w:rFonts w:eastAsiaTheme="minorHAnsi"/>
          <w:b w:val="0"/>
          <w:bCs w:val="0"/>
          <w:sz w:val="20"/>
          <w:szCs w:val="20"/>
          <w:lang w:eastAsia="en-US"/>
        </w:rPr>
        <w:t xml:space="preserve">International Journal of Constitutional Law, vol.4, no.3, 2006, </w:t>
      </w:r>
      <w:r w:rsidR="009B2884" w:rsidRPr="009B2884">
        <w:rPr>
          <w:rFonts w:eastAsiaTheme="minorHAnsi"/>
          <w:b w:val="0"/>
          <w:bCs w:val="0"/>
          <w:sz w:val="20"/>
          <w:szCs w:val="20"/>
          <w:lang w:eastAsia="en-US"/>
        </w:rPr>
        <w:t>p.</w:t>
      </w:r>
      <w:r w:rsidR="003A2C4F" w:rsidRPr="009B2884">
        <w:rPr>
          <w:rFonts w:eastAsiaTheme="minorHAnsi"/>
          <w:b w:val="0"/>
          <w:bCs w:val="0"/>
          <w:sz w:val="20"/>
          <w:szCs w:val="20"/>
          <w:lang w:eastAsia="en-US"/>
        </w:rPr>
        <w:t>586.</w:t>
      </w:r>
    </w:p>
  </w:footnote>
  <w:footnote w:id="42">
    <w:p w14:paraId="637BBA7D" w14:textId="29D5E2A5" w:rsidR="00C335BE" w:rsidRPr="009B2884" w:rsidRDefault="00C335BE" w:rsidP="00AA3163">
      <w:pPr>
        <w:pStyle w:val="NormalWeb"/>
        <w:spacing w:before="0" w:beforeAutospacing="0" w:after="0" w:afterAutospacing="0"/>
        <w:jc w:val="both"/>
        <w:rPr>
          <w:sz w:val="20"/>
          <w:szCs w:val="20"/>
          <w:lang w:val="en-US"/>
        </w:rPr>
      </w:pPr>
      <w:r w:rsidRPr="009D348F">
        <w:rPr>
          <w:rStyle w:val="FootnoteReference"/>
          <w:sz w:val="20"/>
          <w:szCs w:val="20"/>
          <w:lang w:val="en-US"/>
        </w:rPr>
        <w:footnoteRef/>
      </w:r>
      <w:r w:rsidRPr="009D348F">
        <w:rPr>
          <w:sz w:val="20"/>
          <w:szCs w:val="20"/>
          <w:lang w:val="en-US"/>
        </w:rPr>
        <w:t xml:space="preserve"> </w:t>
      </w:r>
      <w:r w:rsidR="00AA3163">
        <w:rPr>
          <w:sz w:val="20"/>
          <w:szCs w:val="20"/>
          <w:lang w:val="en-US"/>
        </w:rPr>
        <w:t xml:space="preserve">For more see, e.g. Cassese, A., </w:t>
      </w:r>
      <w:r w:rsidR="00AA3163" w:rsidRPr="00AA3163">
        <w:rPr>
          <w:i/>
          <w:iCs/>
          <w:sz w:val="20"/>
          <w:szCs w:val="20"/>
          <w:lang w:val="en-US"/>
        </w:rPr>
        <w:t>International Criminal Law</w:t>
      </w:r>
      <w:r w:rsidR="00AA3163">
        <w:rPr>
          <w:sz w:val="20"/>
          <w:szCs w:val="20"/>
          <w:lang w:val="en-US"/>
        </w:rPr>
        <w:t xml:space="preserve">, Oxford University Press, Oxford, 2003, pp.120-131; </w:t>
      </w:r>
      <w:proofErr w:type="spellStart"/>
      <w:r w:rsidR="007873BA" w:rsidRPr="00761165">
        <w:rPr>
          <w:sz w:val="20"/>
          <w:szCs w:val="20"/>
          <w:lang w:val="en-US"/>
        </w:rPr>
        <w:t>Degan</w:t>
      </w:r>
      <w:proofErr w:type="spellEnd"/>
      <w:r w:rsidR="007873BA">
        <w:rPr>
          <w:sz w:val="20"/>
          <w:szCs w:val="20"/>
          <w:lang w:val="en-US"/>
        </w:rPr>
        <w:t>, V.</w:t>
      </w:r>
      <w:r w:rsidR="007873BA">
        <w:rPr>
          <w:sz w:val="20"/>
          <w:szCs w:val="20"/>
          <w:lang w:val="sr-Latn-RS"/>
        </w:rPr>
        <w:t>Đ.</w:t>
      </w:r>
      <w:r w:rsidR="007873BA">
        <w:rPr>
          <w:sz w:val="20"/>
          <w:szCs w:val="20"/>
          <w:lang w:val="en-US"/>
        </w:rPr>
        <w:t xml:space="preserve">; </w:t>
      </w:r>
      <w:proofErr w:type="spellStart"/>
      <w:r w:rsidR="007873BA" w:rsidRPr="00761165">
        <w:rPr>
          <w:sz w:val="20"/>
          <w:szCs w:val="20"/>
          <w:lang w:val="en-US"/>
        </w:rPr>
        <w:t>Pavišić</w:t>
      </w:r>
      <w:proofErr w:type="spellEnd"/>
      <w:r w:rsidR="007873BA">
        <w:rPr>
          <w:sz w:val="20"/>
          <w:szCs w:val="20"/>
          <w:lang w:val="en-US"/>
        </w:rPr>
        <w:t xml:space="preserve">, B.; </w:t>
      </w:r>
      <w:r w:rsidR="007873BA" w:rsidRPr="00761165">
        <w:rPr>
          <w:sz w:val="20"/>
          <w:szCs w:val="20"/>
          <w:lang w:val="en-US"/>
        </w:rPr>
        <w:t>Beširević,</w:t>
      </w:r>
      <w:r w:rsidR="007873BA">
        <w:rPr>
          <w:sz w:val="20"/>
          <w:szCs w:val="20"/>
          <w:lang w:val="en-US"/>
        </w:rPr>
        <w:t xml:space="preserve"> V.,</w:t>
      </w:r>
      <w:r w:rsidR="007873BA" w:rsidRPr="00761165">
        <w:rPr>
          <w:sz w:val="20"/>
          <w:szCs w:val="20"/>
          <w:lang w:val="en-US"/>
        </w:rPr>
        <w:t xml:space="preserve"> </w:t>
      </w:r>
      <w:proofErr w:type="spellStart"/>
      <w:r w:rsidR="007873BA" w:rsidRPr="00761165">
        <w:rPr>
          <w:i/>
          <w:iCs/>
          <w:sz w:val="20"/>
          <w:szCs w:val="20"/>
          <w:lang w:val="en-US"/>
        </w:rPr>
        <w:t>Međunarodno</w:t>
      </w:r>
      <w:proofErr w:type="spellEnd"/>
      <w:r w:rsidR="007873BA" w:rsidRPr="00761165">
        <w:rPr>
          <w:i/>
          <w:iCs/>
          <w:sz w:val="20"/>
          <w:szCs w:val="20"/>
          <w:lang w:val="en-US"/>
        </w:rPr>
        <w:t xml:space="preserve"> </w:t>
      </w:r>
      <w:proofErr w:type="spellStart"/>
      <w:r w:rsidR="007873BA" w:rsidRPr="00761165">
        <w:rPr>
          <w:i/>
          <w:iCs/>
          <w:sz w:val="20"/>
          <w:szCs w:val="20"/>
          <w:lang w:val="en-US"/>
        </w:rPr>
        <w:t>i</w:t>
      </w:r>
      <w:proofErr w:type="spellEnd"/>
      <w:r w:rsidR="007873BA" w:rsidRPr="00761165">
        <w:rPr>
          <w:i/>
          <w:iCs/>
          <w:sz w:val="20"/>
          <w:szCs w:val="20"/>
          <w:lang w:val="en-US"/>
        </w:rPr>
        <w:t xml:space="preserve"> transnacionalno </w:t>
      </w:r>
      <w:proofErr w:type="spellStart"/>
      <w:r w:rsidR="007873BA" w:rsidRPr="00761165">
        <w:rPr>
          <w:i/>
          <w:iCs/>
          <w:sz w:val="20"/>
          <w:szCs w:val="20"/>
          <w:lang w:val="en-US"/>
        </w:rPr>
        <w:t>krivično</w:t>
      </w:r>
      <w:proofErr w:type="spellEnd"/>
      <w:r w:rsidR="007873BA" w:rsidRPr="00761165">
        <w:rPr>
          <w:i/>
          <w:iCs/>
          <w:sz w:val="20"/>
          <w:szCs w:val="20"/>
          <w:lang w:val="en-US"/>
        </w:rPr>
        <w:t xml:space="preserve"> </w:t>
      </w:r>
      <w:proofErr w:type="spellStart"/>
      <w:r w:rsidR="007873BA" w:rsidRPr="00761165">
        <w:rPr>
          <w:i/>
          <w:iCs/>
          <w:sz w:val="20"/>
          <w:szCs w:val="20"/>
          <w:lang w:val="en-US"/>
        </w:rPr>
        <w:t>pravo</w:t>
      </w:r>
      <w:proofErr w:type="spellEnd"/>
      <w:r w:rsidR="007873BA" w:rsidRPr="00761165">
        <w:rPr>
          <w:sz w:val="20"/>
          <w:szCs w:val="20"/>
          <w:lang w:val="en-US"/>
        </w:rPr>
        <w:t>,</w:t>
      </w:r>
      <w:r w:rsidR="007873BA" w:rsidRPr="00761165">
        <w:rPr>
          <w:i/>
          <w:sz w:val="20"/>
          <w:szCs w:val="20"/>
          <w:lang w:val="en-US"/>
        </w:rPr>
        <w:t xml:space="preserve"> </w:t>
      </w:r>
      <w:r w:rsidR="007873BA">
        <w:rPr>
          <w:iCs/>
          <w:sz w:val="20"/>
          <w:szCs w:val="20"/>
          <w:lang w:val="en-US"/>
        </w:rPr>
        <w:t>[International and Translational Criminal Law],</w:t>
      </w:r>
      <w:r w:rsidR="007873BA" w:rsidRPr="007873BA">
        <w:rPr>
          <w:sz w:val="20"/>
          <w:szCs w:val="20"/>
          <w:lang w:val="en-US"/>
        </w:rPr>
        <w:t xml:space="preserve"> </w:t>
      </w:r>
      <w:proofErr w:type="spellStart"/>
      <w:r w:rsidR="007873BA" w:rsidRPr="00A73B07">
        <w:rPr>
          <w:sz w:val="20"/>
          <w:szCs w:val="20"/>
          <w:lang w:val="en-US"/>
        </w:rPr>
        <w:t>Pravni</w:t>
      </w:r>
      <w:proofErr w:type="spellEnd"/>
      <w:r w:rsidR="007873BA" w:rsidRPr="00A73B07">
        <w:rPr>
          <w:sz w:val="20"/>
          <w:szCs w:val="20"/>
          <w:lang w:val="en-US"/>
        </w:rPr>
        <w:t xml:space="preserve"> </w:t>
      </w:r>
      <w:proofErr w:type="spellStart"/>
      <w:r w:rsidR="007873BA" w:rsidRPr="00A73B07">
        <w:rPr>
          <w:sz w:val="20"/>
          <w:szCs w:val="20"/>
          <w:lang w:val="en-US"/>
        </w:rPr>
        <w:t>fakultet</w:t>
      </w:r>
      <w:proofErr w:type="spellEnd"/>
      <w:r w:rsidR="007873BA" w:rsidRPr="00A73B07">
        <w:rPr>
          <w:sz w:val="20"/>
          <w:szCs w:val="20"/>
          <w:lang w:val="en-US"/>
        </w:rPr>
        <w:t xml:space="preserve"> </w:t>
      </w:r>
      <w:proofErr w:type="spellStart"/>
      <w:r w:rsidR="007873BA" w:rsidRPr="00A73B07">
        <w:rPr>
          <w:sz w:val="20"/>
          <w:szCs w:val="20"/>
          <w:lang w:val="en-US"/>
        </w:rPr>
        <w:t>Univerziteta</w:t>
      </w:r>
      <w:proofErr w:type="spellEnd"/>
      <w:r w:rsidR="007873BA" w:rsidRPr="00A73B07">
        <w:rPr>
          <w:sz w:val="20"/>
          <w:szCs w:val="20"/>
          <w:lang w:val="en-US"/>
        </w:rPr>
        <w:t xml:space="preserve"> Union u </w:t>
      </w:r>
      <w:proofErr w:type="spellStart"/>
      <w:r w:rsidR="007873BA" w:rsidRPr="00A73B07">
        <w:rPr>
          <w:sz w:val="20"/>
          <w:szCs w:val="20"/>
          <w:lang w:val="en-US"/>
        </w:rPr>
        <w:t>Beogradu</w:t>
      </w:r>
      <w:proofErr w:type="spellEnd"/>
      <w:r w:rsidR="007873BA" w:rsidRPr="00A73B07">
        <w:rPr>
          <w:sz w:val="20"/>
          <w:szCs w:val="20"/>
          <w:lang w:val="en-US"/>
        </w:rPr>
        <w:t xml:space="preserve">, </w:t>
      </w:r>
      <w:proofErr w:type="spellStart"/>
      <w:r w:rsidR="007873BA" w:rsidRPr="00A73B07">
        <w:rPr>
          <w:sz w:val="20"/>
          <w:szCs w:val="20"/>
          <w:lang w:val="en-US"/>
        </w:rPr>
        <w:t>Službeni</w:t>
      </w:r>
      <w:proofErr w:type="spellEnd"/>
      <w:r w:rsidR="007873BA" w:rsidRPr="00A73B07">
        <w:rPr>
          <w:sz w:val="20"/>
          <w:szCs w:val="20"/>
          <w:lang w:val="en-US"/>
        </w:rPr>
        <w:t xml:space="preserve"> </w:t>
      </w:r>
      <w:proofErr w:type="spellStart"/>
      <w:r w:rsidR="007873BA" w:rsidRPr="00A73B07">
        <w:rPr>
          <w:sz w:val="20"/>
          <w:szCs w:val="20"/>
          <w:lang w:val="en-US"/>
        </w:rPr>
        <w:t>Glasnik</w:t>
      </w:r>
      <w:proofErr w:type="spellEnd"/>
      <w:r w:rsidR="007873BA" w:rsidRPr="00A73B07">
        <w:rPr>
          <w:sz w:val="20"/>
          <w:szCs w:val="20"/>
          <w:lang w:val="en-US"/>
        </w:rPr>
        <w:t xml:space="preserve">, Belgrade, </w:t>
      </w:r>
      <w:r w:rsidR="007873BA" w:rsidRPr="00761165">
        <w:rPr>
          <w:sz w:val="20"/>
          <w:szCs w:val="20"/>
          <w:lang w:val="en-US"/>
        </w:rPr>
        <w:t>2011</w:t>
      </w:r>
      <w:r w:rsidR="007873BA">
        <w:rPr>
          <w:sz w:val="20"/>
          <w:szCs w:val="20"/>
          <w:lang w:val="en-US"/>
        </w:rPr>
        <w:t>,pp.219-228.</w:t>
      </w:r>
      <w:r w:rsidR="00AA3163">
        <w:rPr>
          <w:sz w:val="20"/>
          <w:szCs w:val="20"/>
          <w:lang w:val="en-US"/>
        </w:rPr>
        <w:t xml:space="preserve"> </w:t>
      </w:r>
    </w:p>
  </w:footnote>
  <w:footnote w:id="43">
    <w:p w14:paraId="084CA02D" w14:textId="4EF2D413" w:rsidR="00CD105B" w:rsidRPr="00CD105B" w:rsidRDefault="00CD105B" w:rsidP="00907A47">
      <w:pPr>
        <w:autoSpaceDE w:val="0"/>
        <w:autoSpaceDN w:val="0"/>
        <w:adjustRightInd w:val="0"/>
        <w:jc w:val="both"/>
        <w:rPr>
          <w:rFonts w:eastAsiaTheme="minorHAnsi"/>
          <w:sz w:val="16"/>
          <w:szCs w:val="16"/>
          <w:lang w:eastAsia="en-US"/>
        </w:rPr>
      </w:pPr>
      <w:r>
        <w:rPr>
          <w:rStyle w:val="FootnoteReference"/>
        </w:rPr>
        <w:footnoteRef/>
      </w:r>
      <w:r>
        <w:t xml:space="preserve"> </w:t>
      </w:r>
      <w:r w:rsidRPr="00CD105B">
        <w:rPr>
          <w:rFonts w:eastAsiaTheme="minorHAnsi"/>
          <w:sz w:val="20"/>
          <w:szCs w:val="20"/>
          <w:lang w:eastAsia="en-US"/>
        </w:rPr>
        <w:t xml:space="preserve">For more see </w:t>
      </w:r>
      <w:r w:rsidRPr="00CD105B">
        <w:rPr>
          <w:sz w:val="20"/>
          <w:szCs w:val="20"/>
        </w:rPr>
        <w:t>Sajó</w:t>
      </w:r>
      <w:r w:rsidRPr="00CD105B">
        <w:rPr>
          <w:rFonts w:eastAsiaTheme="minorHAnsi"/>
          <w:sz w:val="20"/>
          <w:szCs w:val="20"/>
          <w:lang w:eastAsia="en-US"/>
        </w:rPr>
        <w:t>,</w:t>
      </w:r>
      <w:r>
        <w:rPr>
          <w:rFonts w:eastAsiaTheme="minorHAnsi"/>
          <w:sz w:val="20"/>
          <w:szCs w:val="20"/>
          <w:lang w:eastAsia="en-US"/>
        </w:rPr>
        <w:t xml:space="preserve"> A.,</w:t>
      </w:r>
      <w:r w:rsidRPr="00CD105B">
        <w:rPr>
          <w:rFonts w:eastAsiaTheme="minorHAnsi"/>
          <w:sz w:val="20"/>
          <w:szCs w:val="20"/>
          <w:lang w:eastAsia="en-US"/>
        </w:rPr>
        <w:t xml:space="preserve"> </w:t>
      </w:r>
      <w:r w:rsidRPr="00CD105B">
        <w:rPr>
          <w:rFonts w:eastAsiaTheme="minorHAnsi"/>
          <w:i/>
          <w:iCs/>
          <w:sz w:val="20"/>
          <w:szCs w:val="20"/>
          <w:lang w:eastAsia="en-US"/>
        </w:rPr>
        <w:t>From Militant Democracy to the Preventive State?</w:t>
      </w:r>
      <w:r w:rsidRPr="00CD105B">
        <w:rPr>
          <w:rFonts w:eastAsiaTheme="minorHAnsi"/>
          <w:sz w:val="20"/>
          <w:szCs w:val="20"/>
          <w:lang w:eastAsia="en-US"/>
        </w:rPr>
        <w:t xml:space="preserve"> Cardozo Law Review, </w:t>
      </w:r>
      <w:r>
        <w:rPr>
          <w:rFonts w:eastAsiaTheme="minorHAnsi"/>
          <w:sz w:val="20"/>
          <w:szCs w:val="20"/>
          <w:lang w:eastAsia="en-US"/>
        </w:rPr>
        <w:t>vol.</w:t>
      </w:r>
      <w:r w:rsidRPr="00CD105B">
        <w:rPr>
          <w:rFonts w:eastAsiaTheme="minorHAnsi"/>
          <w:sz w:val="20"/>
          <w:szCs w:val="20"/>
          <w:lang w:eastAsia="en-US"/>
        </w:rPr>
        <w:t>27</w:t>
      </w:r>
      <w:r w:rsidR="00C55EFC">
        <w:rPr>
          <w:rFonts w:eastAsiaTheme="minorHAnsi"/>
          <w:sz w:val="20"/>
          <w:szCs w:val="20"/>
          <w:lang w:eastAsia="en-US"/>
        </w:rPr>
        <w:t>,</w:t>
      </w:r>
      <w:r w:rsidRPr="00CD105B">
        <w:rPr>
          <w:rFonts w:eastAsiaTheme="minorHAnsi"/>
          <w:sz w:val="20"/>
          <w:szCs w:val="20"/>
          <w:lang w:eastAsia="en-US"/>
        </w:rPr>
        <w:t xml:space="preserve"> 2006</w:t>
      </w:r>
      <w:r w:rsidR="00C55EFC">
        <w:rPr>
          <w:rFonts w:eastAsiaTheme="minorHAnsi"/>
          <w:sz w:val="20"/>
          <w:szCs w:val="20"/>
          <w:lang w:eastAsia="en-US"/>
        </w:rPr>
        <w:t>, pp.</w:t>
      </w:r>
      <w:r w:rsidRPr="00CD105B">
        <w:rPr>
          <w:rFonts w:eastAsiaTheme="minorHAnsi"/>
          <w:sz w:val="20"/>
          <w:szCs w:val="20"/>
          <w:lang w:eastAsia="en-US"/>
        </w:rPr>
        <w:t>2255</w:t>
      </w:r>
      <w:r w:rsidR="00C55EFC">
        <w:rPr>
          <w:rFonts w:eastAsiaTheme="minorHAnsi"/>
          <w:sz w:val="20"/>
          <w:szCs w:val="20"/>
          <w:lang w:eastAsia="en-US"/>
        </w:rPr>
        <w:t>-</w:t>
      </w:r>
      <w:r w:rsidR="00734A78">
        <w:rPr>
          <w:rFonts w:eastAsiaTheme="minorHAnsi"/>
          <w:sz w:val="20"/>
          <w:szCs w:val="20"/>
          <w:lang w:eastAsia="en-US"/>
        </w:rPr>
        <w:t>294.</w:t>
      </w:r>
    </w:p>
  </w:footnote>
  <w:footnote w:id="44">
    <w:p w14:paraId="6A04A286" w14:textId="4CC24F1B" w:rsidR="00AA3163" w:rsidRDefault="00AA3163" w:rsidP="00AA3163">
      <w:pPr>
        <w:pStyle w:val="FootnoteText"/>
        <w:jc w:val="both"/>
      </w:pPr>
      <w:r>
        <w:rPr>
          <w:rStyle w:val="FootnoteReference"/>
        </w:rPr>
        <w:footnoteRef/>
      </w:r>
      <w:r>
        <w:t xml:space="preserve"> </w:t>
      </w:r>
      <w:r w:rsidRPr="009D348F">
        <w:t xml:space="preserve">One broadly accepted definition of </w:t>
      </w:r>
      <w:r>
        <w:t xml:space="preserve">international </w:t>
      </w:r>
      <w:r w:rsidRPr="009D348F">
        <w:t>terrorism is given in</w:t>
      </w:r>
      <w:r>
        <w:t xml:space="preserve"> the </w:t>
      </w:r>
      <w:r w:rsidRPr="009D348F">
        <w:rPr>
          <w:rFonts w:eastAsiaTheme="minorHAnsi"/>
          <w:lang w:eastAsia="en-US"/>
        </w:rPr>
        <w:t>I</w:t>
      </w:r>
      <w:r w:rsidRPr="009D348F">
        <w:rPr>
          <w:rStyle w:val="cosearchterm"/>
        </w:rPr>
        <w:t>nternational</w:t>
      </w:r>
      <w:r w:rsidRPr="009D348F">
        <w:t> Convention for the Suppression of the Financing of </w:t>
      </w:r>
      <w:r w:rsidRPr="009D348F">
        <w:rPr>
          <w:rStyle w:val="cosearchterm"/>
        </w:rPr>
        <w:t>Terrorism,</w:t>
      </w:r>
      <w:r w:rsidRPr="009D348F">
        <w:t xml:space="preserve"> </w:t>
      </w:r>
      <w:r>
        <w:t>a</w:t>
      </w:r>
      <w:r w:rsidRPr="009D348F">
        <w:t>dopted by the General Assembly of the United Nations in</w:t>
      </w:r>
      <w:r w:rsidR="00711DE6">
        <w:t xml:space="preserve"> the</w:t>
      </w:r>
      <w:r w:rsidRPr="009D348F">
        <w:t xml:space="preserve"> </w:t>
      </w:r>
      <w:r w:rsidR="00711DE6">
        <w:t>R</w:t>
      </w:r>
      <w:r w:rsidRPr="009D348F">
        <w:t>esolution</w:t>
      </w:r>
      <w:r w:rsidR="00711DE6">
        <w:t xml:space="preserve"> </w:t>
      </w:r>
      <w:r w:rsidRPr="009D348F">
        <w:t>54/109 of 9 December 1999.</w:t>
      </w:r>
      <w:r w:rsidR="00711DE6">
        <w:t xml:space="preserve"> </w:t>
      </w:r>
      <w:r w:rsidRPr="009B2884">
        <w:rPr>
          <w:rStyle w:val="cosearchterm"/>
        </w:rPr>
        <w:t xml:space="preserve">It offers combination of </w:t>
      </w:r>
      <w:r w:rsidRPr="009B2884">
        <w:t>the wartime and</w:t>
      </w:r>
      <w:r>
        <w:t xml:space="preserve"> </w:t>
      </w:r>
      <w:r w:rsidRPr="009B2884">
        <w:t>peacetime </w:t>
      </w:r>
      <w:r w:rsidRPr="009B2884">
        <w:rPr>
          <w:rStyle w:val="cosearchterm"/>
        </w:rPr>
        <w:t>definition</w:t>
      </w:r>
      <w:r w:rsidRPr="009B2884">
        <w:t> of </w:t>
      </w:r>
      <w:r w:rsidRPr="009B2884">
        <w:rPr>
          <w:rStyle w:val="cosearchterm"/>
        </w:rPr>
        <w:t xml:space="preserve">terrorism: </w:t>
      </w:r>
      <w:r w:rsidRPr="009B2884">
        <w:t xml:space="preserve"> [Terrorism is an] </w:t>
      </w:r>
      <w:r>
        <w:t>“</w:t>
      </w:r>
      <w:r w:rsidRPr="009B2884">
        <w:t>act intended to cause death or serious bodily injury to a civilian, or to any other person not taking an active part in the hostilities in a situation of armed conflict, when the purpose of such act, by its nature or context, is to intimidate a population, or to compel a government or an international organization to do or to abstain from doing any act.</w:t>
      </w:r>
      <w:r>
        <w:t>”</w:t>
      </w:r>
    </w:p>
  </w:footnote>
  <w:footnote w:id="45">
    <w:p w14:paraId="060734F8" w14:textId="5FC95A16" w:rsidR="001500EA" w:rsidRPr="0058671E" w:rsidRDefault="001500EA" w:rsidP="0058671E">
      <w:pPr>
        <w:rPr>
          <w:sz w:val="20"/>
          <w:szCs w:val="20"/>
          <w:lang w:val="en-US"/>
        </w:rPr>
      </w:pPr>
      <w:r w:rsidRPr="0058671E">
        <w:rPr>
          <w:rStyle w:val="FootnoteReference"/>
          <w:sz w:val="20"/>
          <w:szCs w:val="20"/>
          <w:lang w:val="en-US"/>
        </w:rPr>
        <w:footnoteRef/>
      </w:r>
      <w:r w:rsidRPr="0058671E">
        <w:rPr>
          <w:sz w:val="20"/>
          <w:szCs w:val="20"/>
          <w:lang w:val="en-US"/>
        </w:rPr>
        <w:t xml:space="preserve"> </w:t>
      </w:r>
      <w:r w:rsidR="00BB0700" w:rsidRPr="0058671E">
        <w:rPr>
          <w:sz w:val="20"/>
          <w:szCs w:val="20"/>
          <w:lang w:val="en-US"/>
        </w:rPr>
        <w:t xml:space="preserve">See </w:t>
      </w:r>
      <w:r w:rsidRPr="0058671E">
        <w:rPr>
          <w:sz w:val="20"/>
          <w:szCs w:val="20"/>
          <w:lang w:val="en-US"/>
        </w:rPr>
        <w:t>The U.N. Security Council Resolution 1373</w:t>
      </w:r>
      <w:r w:rsidR="0058671E" w:rsidRPr="0058671E">
        <w:rPr>
          <w:sz w:val="20"/>
          <w:szCs w:val="20"/>
          <w:lang w:val="en-US"/>
        </w:rPr>
        <w:t>,</w:t>
      </w:r>
      <w:r w:rsidR="0058671E" w:rsidRPr="0058671E">
        <w:rPr>
          <w:sz w:val="20"/>
          <w:szCs w:val="20"/>
          <w:shd w:val="clear" w:color="auto" w:fill="FFFFFF"/>
        </w:rPr>
        <w:t xml:space="preserve"> </w:t>
      </w:r>
      <w:r w:rsidR="0058671E" w:rsidRPr="0058671E">
        <w:rPr>
          <w:sz w:val="20"/>
          <w:szCs w:val="20"/>
          <w:shd w:val="clear" w:color="auto" w:fill="FFFFFF"/>
          <w:lang w:val="en-US"/>
        </w:rPr>
        <w:t xml:space="preserve">adopted on </w:t>
      </w:r>
      <w:r w:rsidR="0058671E" w:rsidRPr="0058671E">
        <w:rPr>
          <w:sz w:val="20"/>
          <w:szCs w:val="20"/>
          <w:shd w:val="clear" w:color="auto" w:fill="FFFFFF"/>
        </w:rPr>
        <w:t>28 September 2001</w:t>
      </w:r>
      <w:r w:rsidR="0058671E" w:rsidRPr="0058671E">
        <w:rPr>
          <w:sz w:val="20"/>
          <w:szCs w:val="20"/>
          <w:shd w:val="clear" w:color="auto" w:fill="FFFFFF"/>
          <w:lang w:val="en-US"/>
        </w:rPr>
        <w:t>.</w:t>
      </w:r>
      <w:r w:rsidR="0058671E">
        <w:rPr>
          <w:color w:val="0E101A"/>
          <w:sz w:val="20"/>
          <w:szCs w:val="20"/>
          <w:lang w:val="en-US"/>
        </w:rPr>
        <w:t xml:space="preserve"> </w:t>
      </w:r>
    </w:p>
  </w:footnote>
  <w:footnote w:id="46">
    <w:p w14:paraId="1B6E8E26" w14:textId="6DBE8EED" w:rsidR="0058671E" w:rsidRDefault="0058671E">
      <w:pPr>
        <w:pStyle w:val="FootnoteText"/>
      </w:pPr>
      <w:r>
        <w:rPr>
          <w:rStyle w:val="FootnoteReference"/>
        </w:rPr>
        <w:footnoteRef/>
      </w:r>
      <w:r>
        <w:t xml:space="preserve"> </w:t>
      </w:r>
      <w:r w:rsidRPr="001B1DFE">
        <w:t>Beširević</w:t>
      </w:r>
      <w:r>
        <w:t>, V.</w:t>
      </w:r>
      <w:r w:rsidRPr="001B1DFE">
        <w:t xml:space="preserve"> (ed.), </w:t>
      </w:r>
      <w:r>
        <w:rPr>
          <w:i/>
          <w:iCs/>
        </w:rPr>
        <w:t>op</w:t>
      </w:r>
      <w:r w:rsidRPr="002F38F4">
        <w:rPr>
          <w:i/>
          <w:iCs/>
        </w:rPr>
        <w:t>.</w:t>
      </w:r>
      <w:r>
        <w:rPr>
          <w:i/>
          <w:iCs/>
        </w:rPr>
        <w:t xml:space="preserve"> </w:t>
      </w:r>
      <w:r w:rsidRPr="002F38F4">
        <w:rPr>
          <w:i/>
          <w:iCs/>
        </w:rPr>
        <w:t>cit</w:t>
      </w:r>
      <w:r>
        <w:rPr>
          <w:i/>
          <w:iCs/>
        </w:rPr>
        <w:t>.</w:t>
      </w:r>
      <w:r w:rsidRPr="002F38F4">
        <w:t>(fn.</w:t>
      </w:r>
      <w:r w:rsidR="00EB1594">
        <w:t>31</w:t>
      </w:r>
      <w:r w:rsidRPr="002F38F4">
        <w:t>)</w:t>
      </w:r>
      <w:r>
        <w:t>,p.245.</w:t>
      </w:r>
    </w:p>
  </w:footnote>
  <w:footnote w:id="47">
    <w:p w14:paraId="3A543D07" w14:textId="2C1658C6" w:rsidR="006301A1" w:rsidRDefault="006301A1" w:rsidP="006301A1">
      <w:pPr>
        <w:pStyle w:val="FootnoteText"/>
        <w:jc w:val="both"/>
      </w:pPr>
      <w:r>
        <w:rPr>
          <w:rStyle w:val="FootnoteReference"/>
        </w:rPr>
        <w:footnoteRef/>
      </w:r>
      <w:r>
        <w:t xml:space="preserve"> For a detailed discussion see </w:t>
      </w:r>
      <w:proofErr w:type="spellStart"/>
      <w:r>
        <w:t>Ferreres</w:t>
      </w:r>
      <w:proofErr w:type="spellEnd"/>
      <w:r w:rsidRPr="006301A1">
        <w:t xml:space="preserve"> </w:t>
      </w:r>
      <w:proofErr w:type="spellStart"/>
      <w:r>
        <w:t>Comella</w:t>
      </w:r>
      <w:proofErr w:type="spellEnd"/>
      <w:r>
        <w:t>, V.,</w:t>
      </w:r>
      <w:r w:rsidRPr="006301A1">
        <w:rPr>
          <w:i/>
          <w:iCs/>
        </w:rPr>
        <w:t xml:space="preserve"> The New Regulation of Political Parties in Spain, and the Decision to Outlaw </w:t>
      </w:r>
      <w:proofErr w:type="spellStart"/>
      <w:r w:rsidRPr="006301A1">
        <w:rPr>
          <w:i/>
          <w:iCs/>
        </w:rPr>
        <w:t>Batusan</w:t>
      </w:r>
      <w:r>
        <w:t>a</w:t>
      </w:r>
      <w:proofErr w:type="spellEnd"/>
      <w:r>
        <w:t xml:space="preserve">, in: </w:t>
      </w:r>
      <w:proofErr w:type="spellStart"/>
      <w:r w:rsidRPr="001E7B1D">
        <w:rPr>
          <w:rFonts w:cs="Stone Serif ITC"/>
          <w:color w:val="000000"/>
        </w:rPr>
        <w:t>Sajó</w:t>
      </w:r>
      <w:proofErr w:type="spellEnd"/>
      <w:r w:rsidRPr="001E7B1D">
        <w:rPr>
          <w:rFonts w:cs="Stone Serif ITC"/>
          <w:color w:val="000000"/>
        </w:rPr>
        <w:t xml:space="preserve">, A. (ed.), </w:t>
      </w:r>
      <w:r w:rsidRPr="001E7B1D">
        <w:rPr>
          <w:rFonts w:cs="Stone Serif ITC"/>
          <w:i/>
          <w:iCs/>
          <w:color w:val="000000"/>
        </w:rPr>
        <w:t>Militant Democracy</w:t>
      </w:r>
      <w:r w:rsidRPr="001E7B1D">
        <w:rPr>
          <w:rFonts w:cs="Stone Serif ITC"/>
          <w:color w:val="000000"/>
        </w:rPr>
        <w:t xml:space="preserve">, </w:t>
      </w:r>
      <w:r w:rsidRPr="001E7B1D">
        <w:rPr>
          <w:rFonts w:cs="Stone Serif ITC"/>
          <w:i/>
          <w:iCs/>
          <w:color w:val="000000"/>
        </w:rPr>
        <w:t>op.</w:t>
      </w:r>
      <w:r>
        <w:rPr>
          <w:rFonts w:cs="Stone Serif ITC"/>
          <w:i/>
          <w:iCs/>
          <w:color w:val="000000"/>
        </w:rPr>
        <w:t xml:space="preserve"> </w:t>
      </w:r>
      <w:r w:rsidRPr="001E7B1D">
        <w:rPr>
          <w:rFonts w:cs="Stone Serif ITC"/>
          <w:i/>
          <w:iCs/>
          <w:color w:val="000000"/>
        </w:rPr>
        <w:t>cit.</w:t>
      </w:r>
      <w:r w:rsidRPr="001E7B1D">
        <w:rPr>
          <w:rFonts w:cs="Stone Serif ITC"/>
          <w:color w:val="000000"/>
        </w:rPr>
        <w:t xml:space="preserve"> (fn.1</w:t>
      </w:r>
      <w:r w:rsidRPr="003A2C4F">
        <w:rPr>
          <w:rFonts w:cs="Stone Serif ITC"/>
          <w:color w:val="000000"/>
        </w:rPr>
        <w:t>),</w:t>
      </w:r>
      <w:r>
        <w:rPr>
          <w:rFonts w:cs="Stone Serif ITC"/>
          <w:color w:val="000000"/>
        </w:rPr>
        <w:t xml:space="preserve"> pp.133-156.</w:t>
      </w:r>
    </w:p>
  </w:footnote>
  <w:footnote w:id="48">
    <w:p w14:paraId="306D3BC2" w14:textId="5E84C52C" w:rsidR="00395E03" w:rsidRDefault="00395E03">
      <w:pPr>
        <w:pStyle w:val="FootnoteText"/>
      </w:pPr>
      <w:r>
        <w:rPr>
          <w:rStyle w:val="FootnoteReference"/>
        </w:rPr>
        <w:footnoteRef/>
      </w:r>
      <w:r>
        <w:t xml:space="preserve"> </w:t>
      </w:r>
      <w:r w:rsidR="00A95128">
        <w:t xml:space="preserve">See </w:t>
      </w:r>
      <w:r w:rsidR="00B34C99">
        <w:t>A</w:t>
      </w:r>
      <w:r w:rsidR="00A95128">
        <w:t xml:space="preserve">rticle 22 (2) of the Spanish Constitution. </w:t>
      </w:r>
    </w:p>
  </w:footnote>
  <w:footnote w:id="49">
    <w:p w14:paraId="6B6F317D" w14:textId="5652B125" w:rsidR="00B22DC3" w:rsidRPr="001B1DFE" w:rsidRDefault="00B22DC3" w:rsidP="004142F0">
      <w:pPr>
        <w:jc w:val="both"/>
        <w:rPr>
          <w:sz w:val="20"/>
          <w:szCs w:val="20"/>
          <w:lang w:val="en-US"/>
        </w:rPr>
      </w:pPr>
      <w:r w:rsidRPr="001B1DFE">
        <w:rPr>
          <w:rStyle w:val="FootnoteReference"/>
          <w:sz w:val="20"/>
          <w:szCs w:val="20"/>
          <w:lang w:val="en-US"/>
        </w:rPr>
        <w:footnoteRef/>
      </w:r>
      <w:r w:rsidRPr="001B1DFE">
        <w:rPr>
          <w:sz w:val="20"/>
          <w:szCs w:val="20"/>
          <w:lang w:val="en-US"/>
        </w:rPr>
        <w:t xml:space="preserve"> Article 6 of the Spanish </w:t>
      </w:r>
      <w:r w:rsidR="00645878">
        <w:rPr>
          <w:sz w:val="20"/>
          <w:szCs w:val="20"/>
          <w:lang w:val="en-US"/>
        </w:rPr>
        <w:t>C</w:t>
      </w:r>
      <w:r w:rsidRPr="001B1DFE">
        <w:rPr>
          <w:sz w:val="20"/>
          <w:szCs w:val="20"/>
          <w:lang w:val="en-US"/>
        </w:rPr>
        <w:t>onstitution reads:</w:t>
      </w:r>
      <w:r w:rsidR="00352186" w:rsidRPr="001B1DFE">
        <w:rPr>
          <w:sz w:val="20"/>
          <w:szCs w:val="20"/>
          <w:lang w:val="en-US"/>
        </w:rPr>
        <w:t xml:space="preserve"> </w:t>
      </w:r>
      <w:r w:rsidR="00645878">
        <w:rPr>
          <w:sz w:val="20"/>
          <w:szCs w:val="20"/>
          <w:lang w:val="en-US"/>
        </w:rPr>
        <w:t>“</w:t>
      </w:r>
      <w:r w:rsidR="00352186" w:rsidRPr="001B1DFE">
        <w:rPr>
          <w:sz w:val="20"/>
          <w:szCs w:val="20"/>
          <w:lang w:val="en-US"/>
        </w:rPr>
        <w:t>Political parties are the expression of political pluralism; they contribute to the formation and expression of the will of the people and are a fundamental instrument for political participation. Their creation and the exercise of their activities are free in so far as they respect the Constitution and the law. Their internal structure and operation must be democratic.</w:t>
      </w:r>
      <w:r w:rsidR="00645878">
        <w:rPr>
          <w:sz w:val="20"/>
          <w:szCs w:val="20"/>
          <w:lang w:val="en-US"/>
        </w:rPr>
        <w:t>”</w:t>
      </w:r>
    </w:p>
  </w:footnote>
  <w:footnote w:id="50">
    <w:p w14:paraId="6AE950D0" w14:textId="0B086673" w:rsidR="00395E03" w:rsidRDefault="00395E03">
      <w:pPr>
        <w:pStyle w:val="FootnoteText"/>
      </w:pPr>
      <w:r>
        <w:rPr>
          <w:rStyle w:val="FootnoteReference"/>
        </w:rPr>
        <w:footnoteRef/>
      </w:r>
      <w:r>
        <w:t xml:space="preserve"> </w:t>
      </w:r>
      <w:proofErr w:type="spellStart"/>
      <w:r w:rsidR="00645878">
        <w:t>Ferreres</w:t>
      </w:r>
      <w:proofErr w:type="spellEnd"/>
      <w:r w:rsidR="00645878" w:rsidRPr="006301A1">
        <w:t xml:space="preserve"> </w:t>
      </w:r>
      <w:proofErr w:type="spellStart"/>
      <w:r w:rsidR="00645878">
        <w:t>Comella</w:t>
      </w:r>
      <w:proofErr w:type="spellEnd"/>
      <w:r w:rsidR="00645878">
        <w:t xml:space="preserve">, </w:t>
      </w:r>
      <w:proofErr w:type="spellStart"/>
      <w:r w:rsidR="00645878">
        <w:t>op.cit</w:t>
      </w:r>
      <w:proofErr w:type="spellEnd"/>
      <w:r w:rsidR="00645878">
        <w:t>. (fn.4</w:t>
      </w:r>
      <w:r w:rsidR="00B34C99">
        <w:t>6</w:t>
      </w:r>
      <w:r w:rsidR="00645878">
        <w:t>), p. 133.</w:t>
      </w:r>
    </w:p>
  </w:footnote>
  <w:footnote w:id="51">
    <w:p w14:paraId="22835FC5" w14:textId="42C582B3" w:rsidR="00395E03" w:rsidRDefault="00395E03">
      <w:pPr>
        <w:pStyle w:val="FootnoteText"/>
      </w:pPr>
      <w:r>
        <w:rPr>
          <w:rStyle w:val="FootnoteReference"/>
        </w:rPr>
        <w:footnoteRef/>
      </w:r>
      <w:r>
        <w:t xml:space="preserve"> </w:t>
      </w:r>
      <w:r w:rsidR="00645878" w:rsidRPr="00645878">
        <w:rPr>
          <w:i/>
          <w:iCs/>
        </w:rPr>
        <w:t>Ibid</w:t>
      </w:r>
      <w:r w:rsidR="00645878">
        <w:t>., pp.138-141.</w:t>
      </w:r>
    </w:p>
  </w:footnote>
  <w:footnote w:id="52">
    <w:p w14:paraId="3DDE4FD7" w14:textId="6BE5F98C" w:rsidR="00395E03" w:rsidRDefault="00395E03">
      <w:pPr>
        <w:pStyle w:val="FootnoteText"/>
      </w:pPr>
      <w:r>
        <w:rPr>
          <w:rStyle w:val="FootnoteReference"/>
        </w:rPr>
        <w:footnoteRef/>
      </w:r>
      <w:r>
        <w:t xml:space="preserve"> </w:t>
      </w:r>
      <w:r w:rsidR="00645878" w:rsidRPr="00645878">
        <w:rPr>
          <w:i/>
          <w:iCs/>
        </w:rPr>
        <w:t>Ibid</w:t>
      </w:r>
      <w:r w:rsidR="00645878">
        <w:t>.,p.138.</w:t>
      </w:r>
    </w:p>
  </w:footnote>
  <w:footnote w:id="53">
    <w:p w14:paraId="5FC40F37" w14:textId="5C4EF443" w:rsidR="004142F0" w:rsidRPr="00CD3AA1" w:rsidRDefault="004142F0" w:rsidP="00CD3AA1">
      <w:pPr>
        <w:autoSpaceDE w:val="0"/>
        <w:autoSpaceDN w:val="0"/>
        <w:adjustRightInd w:val="0"/>
        <w:jc w:val="both"/>
        <w:rPr>
          <w:rFonts w:eastAsiaTheme="minorHAnsi"/>
          <w:sz w:val="20"/>
          <w:szCs w:val="20"/>
          <w:lang w:val="en-US" w:eastAsia="en-US"/>
        </w:rPr>
      </w:pPr>
      <w:r w:rsidRPr="001B1DFE">
        <w:rPr>
          <w:rStyle w:val="FootnoteReference"/>
          <w:sz w:val="20"/>
          <w:szCs w:val="20"/>
          <w:lang w:val="en-US"/>
        </w:rPr>
        <w:footnoteRef/>
      </w:r>
      <w:r w:rsidRPr="001B1DFE">
        <w:rPr>
          <w:sz w:val="20"/>
          <w:szCs w:val="20"/>
          <w:lang w:val="en-US"/>
        </w:rPr>
        <w:t xml:space="preserve"> </w:t>
      </w:r>
      <w:r w:rsidR="00645878" w:rsidRPr="00645878">
        <w:rPr>
          <w:i/>
          <w:iCs/>
          <w:sz w:val="20"/>
          <w:szCs w:val="20"/>
        </w:rPr>
        <w:t>Ibid</w:t>
      </w:r>
      <w:r w:rsidR="00645878" w:rsidRPr="00645878">
        <w:rPr>
          <w:sz w:val="20"/>
          <w:szCs w:val="20"/>
        </w:rPr>
        <w:t>.,p</w:t>
      </w:r>
      <w:r w:rsidR="00645878" w:rsidRPr="00645878">
        <w:rPr>
          <w:sz w:val="20"/>
          <w:szCs w:val="20"/>
          <w:lang w:val="en-US"/>
        </w:rPr>
        <w:t>p</w:t>
      </w:r>
      <w:r w:rsidR="00645878" w:rsidRPr="00645878">
        <w:rPr>
          <w:sz w:val="20"/>
          <w:szCs w:val="20"/>
        </w:rPr>
        <w:t>.138</w:t>
      </w:r>
      <w:r w:rsidR="00645878" w:rsidRPr="00645878">
        <w:rPr>
          <w:sz w:val="20"/>
          <w:szCs w:val="20"/>
          <w:lang w:val="en-US"/>
        </w:rPr>
        <w:t>-139.</w:t>
      </w:r>
      <w:r w:rsidR="005D38C7" w:rsidRPr="005D38C7">
        <w:rPr>
          <w:rFonts w:eastAsiaTheme="minorHAnsi"/>
          <w:sz w:val="20"/>
          <w:szCs w:val="20"/>
          <w:lang w:val="en-US" w:eastAsia="en-US"/>
        </w:rPr>
        <w:t xml:space="preserve"> </w:t>
      </w:r>
    </w:p>
  </w:footnote>
  <w:footnote w:id="54">
    <w:p w14:paraId="12D45AC9" w14:textId="6BA0C0E8" w:rsidR="00422D12" w:rsidRPr="00F61703" w:rsidRDefault="00CD3AA1" w:rsidP="00422D12">
      <w:pPr>
        <w:pStyle w:val="FootnoteText"/>
        <w:jc w:val="both"/>
      </w:pPr>
      <w:r>
        <w:rPr>
          <w:rStyle w:val="FootnoteReference"/>
        </w:rPr>
        <w:footnoteRef/>
      </w:r>
      <w:r>
        <w:t xml:space="preserve"> For more on emergency powers see</w:t>
      </w:r>
      <w:r w:rsidR="00422D12">
        <w:t xml:space="preserve">, </w:t>
      </w:r>
      <w:r w:rsidRPr="00422D12">
        <w:rPr>
          <w:i/>
          <w:iCs/>
        </w:rPr>
        <w:t>e.g.</w:t>
      </w:r>
      <w:r w:rsidR="00422D12">
        <w:rPr>
          <w:i/>
          <w:iCs/>
          <w:lang w:val="hr-HR"/>
        </w:rPr>
        <w:t xml:space="preserve">, </w:t>
      </w:r>
      <w:proofErr w:type="spellStart"/>
      <w:r w:rsidR="00422D12" w:rsidRPr="00F61703">
        <w:t>Dyzenhaus</w:t>
      </w:r>
      <w:proofErr w:type="spellEnd"/>
      <w:r w:rsidR="00422D12" w:rsidRPr="00F61703">
        <w:t xml:space="preserve">, D., </w:t>
      </w:r>
      <w:r w:rsidR="00422D12" w:rsidRPr="00F61703">
        <w:rPr>
          <w:i/>
          <w:iCs/>
        </w:rPr>
        <w:t>States of Emergency</w:t>
      </w:r>
      <w:r w:rsidR="00422D12" w:rsidRPr="00F61703">
        <w:t xml:space="preserve">, </w:t>
      </w:r>
      <w:r w:rsidR="00EC4C3F" w:rsidRPr="00F61703">
        <w:t xml:space="preserve">in: </w:t>
      </w:r>
      <w:r w:rsidR="00422D12" w:rsidRPr="00F61703">
        <w:rPr>
          <w:noProof/>
        </w:rPr>
        <w:t>Rosenfeld</w:t>
      </w:r>
      <w:r w:rsidR="00EC4C3F" w:rsidRPr="00F61703">
        <w:rPr>
          <w:noProof/>
        </w:rPr>
        <w:t xml:space="preserve">, M,; </w:t>
      </w:r>
      <w:r w:rsidR="00422D12" w:rsidRPr="00F61703">
        <w:rPr>
          <w:noProof/>
        </w:rPr>
        <w:t>Sajó</w:t>
      </w:r>
      <w:r w:rsidR="00EC4C3F" w:rsidRPr="00F61703">
        <w:rPr>
          <w:noProof/>
        </w:rPr>
        <w:t>, A.</w:t>
      </w:r>
      <w:r w:rsidR="00422D12" w:rsidRPr="00F61703">
        <w:rPr>
          <w:noProof/>
        </w:rPr>
        <w:t xml:space="preserve"> (eds.), </w:t>
      </w:r>
      <w:r w:rsidR="00EC4C3F" w:rsidRPr="00F61703">
        <w:rPr>
          <w:i/>
          <w:iCs/>
          <w:noProof/>
        </w:rPr>
        <w:t>op.cit</w:t>
      </w:r>
      <w:r w:rsidR="00EC4C3F" w:rsidRPr="00F61703">
        <w:rPr>
          <w:noProof/>
        </w:rPr>
        <w:t>. (fn</w:t>
      </w:r>
      <w:r w:rsidR="00F61703">
        <w:rPr>
          <w:noProof/>
        </w:rPr>
        <w:t>.</w:t>
      </w:r>
      <w:r w:rsidR="00EC4C3F" w:rsidRPr="00F61703">
        <w:rPr>
          <w:noProof/>
        </w:rPr>
        <w:t xml:space="preserve">1), pp. </w:t>
      </w:r>
      <w:r w:rsidR="00422D12" w:rsidRPr="00F61703">
        <w:rPr>
          <w:noProof/>
        </w:rPr>
        <w:t>442-462.</w:t>
      </w:r>
    </w:p>
    <w:p w14:paraId="4F61C71D" w14:textId="77AB9042" w:rsidR="00CD3AA1" w:rsidRPr="00CD3AA1" w:rsidRDefault="00CD3AA1" w:rsidP="00CD3AA1">
      <w:pPr>
        <w:rPr>
          <w:lang w:val="en-US"/>
        </w:rPr>
      </w:pPr>
      <w:r>
        <w:t xml:space="preserve"> </w:t>
      </w:r>
    </w:p>
    <w:p w14:paraId="12F668D8" w14:textId="59623B08" w:rsidR="00CD3AA1" w:rsidRDefault="00CD3AA1">
      <w:pPr>
        <w:pStyle w:val="FootnoteText"/>
      </w:pPr>
    </w:p>
  </w:footnote>
  <w:footnote w:id="55">
    <w:p w14:paraId="7227AE98" w14:textId="7373A180" w:rsidR="00504A53" w:rsidRDefault="00504A53">
      <w:pPr>
        <w:pStyle w:val="FootnoteText"/>
      </w:pPr>
      <w:r>
        <w:rPr>
          <w:rStyle w:val="FootnoteReference"/>
        </w:rPr>
        <w:footnoteRef/>
      </w:r>
      <w:r>
        <w:t xml:space="preserve"> See Article 16 of the French Constitution; see also </w:t>
      </w:r>
      <w:proofErr w:type="spellStart"/>
      <w:r w:rsidRPr="00F61703">
        <w:t>Dyzenhaus</w:t>
      </w:r>
      <w:proofErr w:type="spellEnd"/>
      <w:r w:rsidRPr="00F61703">
        <w:t>,</w:t>
      </w:r>
      <w:r>
        <w:t xml:space="preserve"> D., </w:t>
      </w:r>
      <w:r w:rsidRPr="00504A53">
        <w:rPr>
          <w:i/>
          <w:iCs/>
        </w:rPr>
        <w:t>op.</w:t>
      </w:r>
      <w:r>
        <w:rPr>
          <w:i/>
          <w:iCs/>
        </w:rPr>
        <w:t xml:space="preserve"> </w:t>
      </w:r>
      <w:r w:rsidRPr="00504A53">
        <w:rPr>
          <w:i/>
          <w:iCs/>
        </w:rPr>
        <w:t>cit</w:t>
      </w:r>
      <w:r>
        <w:t>. (fn.5</w:t>
      </w:r>
      <w:r w:rsidR="00B65B47">
        <w:t>3</w:t>
      </w:r>
      <w:r>
        <w:t xml:space="preserve">), p.445. </w:t>
      </w:r>
    </w:p>
  </w:footnote>
  <w:footnote w:id="56">
    <w:p w14:paraId="38E7C337" w14:textId="7A723565" w:rsidR="00C7107A" w:rsidRDefault="00C7107A">
      <w:pPr>
        <w:pStyle w:val="FootnoteText"/>
      </w:pPr>
      <w:r>
        <w:rPr>
          <w:rStyle w:val="FootnoteReference"/>
        </w:rPr>
        <w:footnoteRef/>
      </w:r>
      <w:r>
        <w:t xml:space="preserve"> </w:t>
      </w:r>
      <w:r w:rsidRPr="003A2C4F">
        <w:rPr>
          <w:rFonts w:eastAsiaTheme="minorHAnsi"/>
          <w:lang w:eastAsia="en-US"/>
        </w:rPr>
        <w:t xml:space="preserve">Ginsburg, T.; Huq, A., </w:t>
      </w:r>
      <w:r w:rsidRPr="003A2C4F">
        <w:rPr>
          <w:rFonts w:eastAsiaTheme="minorHAnsi"/>
          <w:i/>
          <w:iCs/>
          <w:lang w:eastAsia="en-US"/>
        </w:rPr>
        <w:t>op. cit.</w:t>
      </w:r>
      <w:r w:rsidRPr="003A2C4F">
        <w:rPr>
          <w:rFonts w:eastAsiaTheme="minorHAnsi"/>
          <w:lang w:eastAsia="en-US"/>
        </w:rPr>
        <w:t xml:space="preserve"> (fn.</w:t>
      </w:r>
      <w:r w:rsidR="00297375">
        <w:rPr>
          <w:rFonts w:eastAsiaTheme="minorHAnsi"/>
          <w:lang w:eastAsia="en-US"/>
        </w:rPr>
        <w:t>10</w:t>
      </w:r>
      <w:r w:rsidRPr="003A2C4F">
        <w:rPr>
          <w:rFonts w:eastAsiaTheme="minorHAnsi"/>
          <w:lang w:eastAsia="en-US"/>
        </w:rPr>
        <w:t xml:space="preserve">), </w:t>
      </w:r>
      <w:r w:rsidRPr="003A2C4F">
        <w:t>p</w:t>
      </w:r>
      <w:r w:rsidR="00557616">
        <w:t>p</w:t>
      </w:r>
      <w:r w:rsidRPr="003A2C4F">
        <w:t>.</w:t>
      </w:r>
      <w:r w:rsidR="00557616">
        <w:t>57-62.</w:t>
      </w:r>
    </w:p>
  </w:footnote>
  <w:footnote w:id="57">
    <w:p w14:paraId="459382DD" w14:textId="613AD857" w:rsidR="00344208" w:rsidRPr="001B1DFE" w:rsidRDefault="00344208">
      <w:pPr>
        <w:pStyle w:val="FootnoteText"/>
      </w:pPr>
      <w:r w:rsidRPr="001B1DFE">
        <w:rPr>
          <w:rStyle w:val="FootnoteReference"/>
        </w:rPr>
        <w:footnoteRef/>
      </w:r>
      <w:r w:rsidRPr="001B1DFE">
        <w:t xml:space="preserve"> </w:t>
      </w:r>
      <w:r w:rsidRPr="001B1DFE">
        <w:rPr>
          <w:rFonts w:eastAsiaTheme="minorHAnsi"/>
          <w:i/>
          <w:iCs/>
          <w:lang w:eastAsia="en-US"/>
        </w:rPr>
        <w:t xml:space="preserve">Leyla </w:t>
      </w:r>
      <w:proofErr w:type="spellStart"/>
      <w:r w:rsidRPr="001B1DFE">
        <w:rPr>
          <w:rFonts w:eastAsiaTheme="minorHAnsi"/>
          <w:i/>
          <w:iCs/>
          <w:lang w:eastAsia="en-US"/>
        </w:rPr>
        <w:t>Şahin</w:t>
      </w:r>
      <w:proofErr w:type="spellEnd"/>
      <w:r w:rsidRPr="001B1DFE">
        <w:rPr>
          <w:rFonts w:eastAsiaTheme="minorHAnsi"/>
          <w:i/>
          <w:iCs/>
          <w:lang w:eastAsia="en-US"/>
        </w:rPr>
        <w:t xml:space="preserve"> v. Turkey</w:t>
      </w:r>
      <w:r w:rsidRPr="001B1DFE">
        <w:rPr>
          <w:rFonts w:eastAsiaTheme="minorHAnsi"/>
          <w:lang w:eastAsia="en-US"/>
        </w:rPr>
        <w:t>, App. no. 44774/98, Judgment of 10 November 2005.</w:t>
      </w:r>
    </w:p>
  </w:footnote>
  <w:footnote w:id="58">
    <w:p w14:paraId="5B260305" w14:textId="4F47832D" w:rsidR="00344208" w:rsidRPr="001B1DFE" w:rsidRDefault="00344208">
      <w:pPr>
        <w:pStyle w:val="FootnoteText"/>
      </w:pPr>
      <w:r w:rsidRPr="001B1DFE">
        <w:rPr>
          <w:rStyle w:val="FootnoteReference"/>
        </w:rPr>
        <w:footnoteRef/>
      </w:r>
      <w:r w:rsidRPr="001B1DFE">
        <w:t xml:space="preserve"> </w:t>
      </w:r>
      <w:r w:rsidRPr="001B1DFE">
        <w:rPr>
          <w:i/>
          <w:iCs/>
        </w:rPr>
        <w:t>Ibid.</w:t>
      </w:r>
      <w:r w:rsidRPr="001B1DFE">
        <w:t xml:space="preserve">, para.114. </w:t>
      </w:r>
    </w:p>
  </w:footnote>
  <w:footnote w:id="59">
    <w:p w14:paraId="7D17F2EA" w14:textId="0EF0E58C" w:rsidR="00344208" w:rsidRPr="001B1DFE" w:rsidRDefault="00344208" w:rsidP="00D51E33">
      <w:pPr>
        <w:pStyle w:val="FootnoteText"/>
        <w:jc w:val="both"/>
      </w:pPr>
      <w:r w:rsidRPr="001B1DFE">
        <w:rPr>
          <w:rStyle w:val="FootnoteReference"/>
        </w:rPr>
        <w:footnoteRef/>
      </w:r>
      <w:r w:rsidRPr="001B1DFE">
        <w:t xml:space="preserve"> See. </w:t>
      </w:r>
      <w:r w:rsidRPr="0015429C">
        <w:rPr>
          <w:i/>
          <w:iCs/>
        </w:rPr>
        <w:t>e.g.</w:t>
      </w:r>
      <w:r w:rsidR="0015429C">
        <w:t>,</w:t>
      </w:r>
      <w:r w:rsidRPr="001B1DFE">
        <w:t xml:space="preserve"> </w:t>
      </w:r>
      <w:proofErr w:type="spellStart"/>
      <w:r w:rsidRPr="001B1DFE">
        <w:rPr>
          <w:i/>
          <w:iCs/>
        </w:rPr>
        <w:t>Sas</w:t>
      </w:r>
      <w:proofErr w:type="spellEnd"/>
      <w:r w:rsidRPr="001B1DFE">
        <w:rPr>
          <w:i/>
          <w:iCs/>
        </w:rPr>
        <w:t xml:space="preserve"> v. France</w:t>
      </w:r>
      <w:r w:rsidRPr="001B1DFE">
        <w:t xml:space="preserve">, App. no. 43835/11, Judgment of  </w:t>
      </w:r>
      <w:r w:rsidR="0015429C">
        <w:t xml:space="preserve">1 July </w:t>
      </w:r>
      <w:r w:rsidRPr="001B1DFE">
        <w:t>2014</w:t>
      </w:r>
      <w:r w:rsidR="0015429C">
        <w:t>,</w:t>
      </w:r>
      <w:r w:rsidRPr="001B1DFE">
        <w:t xml:space="preserve"> </w:t>
      </w:r>
      <w:r w:rsidR="00A978E1" w:rsidRPr="001B1DFE">
        <w:t xml:space="preserve">para. 121-122 </w:t>
      </w:r>
      <w:r w:rsidRPr="001B1DFE">
        <w:t xml:space="preserve">and </w:t>
      </w:r>
      <w:proofErr w:type="spellStart"/>
      <w:r w:rsidRPr="001B1DFE">
        <w:rPr>
          <w:i/>
          <w:iCs/>
        </w:rPr>
        <w:t>Belcacemi</w:t>
      </w:r>
      <w:proofErr w:type="spellEnd"/>
      <w:r w:rsidRPr="001B1DFE">
        <w:rPr>
          <w:i/>
          <w:iCs/>
        </w:rPr>
        <w:t xml:space="preserve"> et </w:t>
      </w:r>
      <w:proofErr w:type="spellStart"/>
      <w:r w:rsidRPr="001B1DFE">
        <w:rPr>
          <w:i/>
          <w:iCs/>
        </w:rPr>
        <w:t>Oussar</w:t>
      </w:r>
      <w:proofErr w:type="spellEnd"/>
      <w:r w:rsidRPr="001B1DFE">
        <w:rPr>
          <w:i/>
          <w:iCs/>
        </w:rPr>
        <w:t xml:space="preserve"> v. Belgi</w:t>
      </w:r>
      <w:r w:rsidR="0015429C">
        <w:rPr>
          <w:i/>
          <w:iCs/>
        </w:rPr>
        <w:t>um</w:t>
      </w:r>
      <w:r w:rsidRPr="001B1DFE">
        <w:t xml:space="preserve">, App. no. 37798/13, Judgment of </w:t>
      </w:r>
      <w:r w:rsidR="0015429C">
        <w:t xml:space="preserve">11 July </w:t>
      </w:r>
      <w:r w:rsidRPr="001B1DFE">
        <w:t>2017</w:t>
      </w:r>
      <w:r w:rsidR="00A978E1" w:rsidRPr="001B1DFE">
        <w:t>, para.</w:t>
      </w:r>
      <w:r w:rsidR="0015429C">
        <w:t>61.</w:t>
      </w:r>
      <w:r w:rsidRPr="001B1DFE">
        <w:t xml:space="preserve">  </w:t>
      </w:r>
    </w:p>
  </w:footnote>
  <w:footnote w:id="60">
    <w:p w14:paraId="09BC9D44" w14:textId="23B08E60" w:rsidR="00F02A4A" w:rsidRPr="00C354A8" w:rsidRDefault="00F02A4A" w:rsidP="00C354A8">
      <w:pPr>
        <w:jc w:val="both"/>
        <w:rPr>
          <w:sz w:val="20"/>
          <w:szCs w:val="20"/>
        </w:rPr>
      </w:pPr>
      <w:r w:rsidRPr="00C354A8">
        <w:rPr>
          <w:rStyle w:val="FootnoteReference"/>
          <w:sz w:val="20"/>
          <w:szCs w:val="20"/>
        </w:rPr>
        <w:footnoteRef/>
      </w:r>
      <w:r w:rsidRPr="00C354A8">
        <w:rPr>
          <w:sz w:val="20"/>
          <w:szCs w:val="20"/>
        </w:rPr>
        <w:t xml:space="preserve"> The following two cases confirms this finding:  </w:t>
      </w:r>
      <w:r w:rsidR="00C354A8" w:rsidRPr="00C354A8">
        <w:rPr>
          <w:rFonts w:eastAsiaTheme="minorHAnsi"/>
          <w:sz w:val="20"/>
          <w:szCs w:val="20"/>
          <w:lang w:eastAsia="en-US"/>
        </w:rPr>
        <w:t xml:space="preserve">Judgment of the CJEU, </w:t>
      </w:r>
      <w:r w:rsidRPr="00C354A8">
        <w:rPr>
          <w:sz w:val="20"/>
          <w:szCs w:val="20"/>
        </w:rPr>
        <w:t>Case C-157/15</w:t>
      </w:r>
      <w:r w:rsidR="00C354A8">
        <w:rPr>
          <w:sz w:val="20"/>
          <w:szCs w:val="20"/>
          <w:lang w:val="en-US"/>
        </w:rPr>
        <w:t xml:space="preserve">, </w:t>
      </w:r>
      <w:r w:rsidR="00D51E33" w:rsidRPr="00C354A8">
        <w:rPr>
          <w:i/>
          <w:iCs/>
          <w:sz w:val="20"/>
          <w:szCs w:val="20"/>
          <w:shd w:val="clear" w:color="auto" w:fill="FFFFFF"/>
        </w:rPr>
        <w:t>Samira Achbita and Centrum voor gelijkheid van kansen en voor racismebestrijding v</w:t>
      </w:r>
      <w:r w:rsidR="00C354A8">
        <w:rPr>
          <w:i/>
          <w:iCs/>
          <w:sz w:val="20"/>
          <w:szCs w:val="20"/>
          <w:shd w:val="clear" w:color="auto" w:fill="FFFFFF"/>
          <w:lang w:val="en-US"/>
        </w:rPr>
        <w:t>.</w:t>
      </w:r>
      <w:r w:rsidR="00D51E33" w:rsidRPr="00C354A8">
        <w:rPr>
          <w:i/>
          <w:iCs/>
          <w:sz w:val="20"/>
          <w:szCs w:val="20"/>
          <w:shd w:val="clear" w:color="auto" w:fill="FFFFFF"/>
        </w:rPr>
        <w:t xml:space="preserve"> G4S Secure Solutions NV</w:t>
      </w:r>
      <w:r w:rsidR="00D51E33" w:rsidRPr="00C354A8">
        <w:rPr>
          <w:sz w:val="20"/>
          <w:szCs w:val="20"/>
          <w:shd w:val="clear" w:color="auto" w:fill="FFFFFF"/>
          <w:lang w:val="en-US"/>
        </w:rPr>
        <w:t>,</w:t>
      </w:r>
      <w:r w:rsidR="00C354A8" w:rsidRPr="00C354A8">
        <w:rPr>
          <w:sz w:val="20"/>
          <w:szCs w:val="20"/>
          <w:shd w:val="clear" w:color="auto" w:fill="FFFFFF"/>
        </w:rPr>
        <w:t xml:space="preserve"> ECLI:EU:C:2017:203</w:t>
      </w:r>
      <w:r w:rsidR="00C354A8" w:rsidRPr="00C354A8">
        <w:rPr>
          <w:sz w:val="20"/>
          <w:szCs w:val="20"/>
          <w:lang w:val="en-US"/>
        </w:rPr>
        <w:t xml:space="preserve"> </w:t>
      </w:r>
      <w:r w:rsidRPr="00C354A8">
        <w:rPr>
          <w:sz w:val="20"/>
          <w:szCs w:val="20"/>
        </w:rPr>
        <w:t>and</w:t>
      </w:r>
      <w:r w:rsidR="00C354A8" w:rsidRPr="00C354A8">
        <w:rPr>
          <w:rFonts w:eastAsiaTheme="minorHAnsi"/>
          <w:sz w:val="20"/>
          <w:szCs w:val="20"/>
          <w:lang w:eastAsia="en-US"/>
        </w:rPr>
        <w:t xml:space="preserve"> Judgment of the CJEU, </w:t>
      </w:r>
      <w:r w:rsidRPr="00C354A8">
        <w:rPr>
          <w:sz w:val="20"/>
          <w:szCs w:val="20"/>
        </w:rPr>
        <w:t xml:space="preserve"> </w:t>
      </w:r>
      <w:r w:rsidR="00C354A8">
        <w:rPr>
          <w:sz w:val="20"/>
          <w:szCs w:val="20"/>
          <w:lang w:val="en-US"/>
        </w:rPr>
        <w:t>C</w:t>
      </w:r>
      <w:r w:rsidRPr="00C354A8">
        <w:rPr>
          <w:sz w:val="20"/>
          <w:szCs w:val="20"/>
        </w:rPr>
        <w:t xml:space="preserve">ase C-188/15 </w:t>
      </w:r>
      <w:r w:rsidR="00C354A8" w:rsidRPr="00C354A8">
        <w:rPr>
          <w:i/>
          <w:iCs/>
          <w:sz w:val="20"/>
          <w:szCs w:val="20"/>
          <w:shd w:val="clear" w:color="auto" w:fill="FFFFFF"/>
        </w:rPr>
        <w:t>Asma Bougnaoui and Association de défense des droits de l’homme (ADDH) v</w:t>
      </w:r>
      <w:r w:rsidR="00C354A8">
        <w:rPr>
          <w:i/>
          <w:iCs/>
          <w:sz w:val="20"/>
          <w:szCs w:val="20"/>
          <w:shd w:val="clear" w:color="auto" w:fill="FFFFFF"/>
          <w:lang w:val="en-US"/>
        </w:rPr>
        <w:t>.</w:t>
      </w:r>
      <w:r w:rsidR="00C354A8" w:rsidRPr="00C354A8">
        <w:rPr>
          <w:i/>
          <w:iCs/>
          <w:sz w:val="20"/>
          <w:szCs w:val="20"/>
          <w:shd w:val="clear" w:color="auto" w:fill="FFFFFF"/>
        </w:rPr>
        <w:t xml:space="preserve"> Micropole SA</w:t>
      </w:r>
      <w:r w:rsidR="00C354A8" w:rsidRPr="00C354A8">
        <w:rPr>
          <w:sz w:val="20"/>
          <w:szCs w:val="20"/>
          <w:shd w:val="clear" w:color="auto" w:fill="FFFFFF"/>
          <w:lang w:val="en-US"/>
        </w:rPr>
        <w:t>,</w:t>
      </w:r>
      <w:r w:rsidR="00C354A8" w:rsidRPr="00C354A8">
        <w:rPr>
          <w:sz w:val="20"/>
          <w:szCs w:val="20"/>
          <w:shd w:val="clear" w:color="auto" w:fill="FFFFFF"/>
        </w:rPr>
        <w:t xml:space="preserve"> ECLI:EU:C:2017:204</w:t>
      </w:r>
    </w:p>
  </w:footnote>
  <w:footnote w:id="61">
    <w:p w14:paraId="0E480581" w14:textId="4B540259" w:rsidR="00F02A4A" w:rsidRPr="007E0F76" w:rsidRDefault="00F02A4A" w:rsidP="007E0F76">
      <w:pPr>
        <w:jc w:val="both"/>
        <w:rPr>
          <w:lang w:val="en-US"/>
        </w:rPr>
      </w:pPr>
      <w:r w:rsidRPr="001B1DFE">
        <w:rPr>
          <w:rStyle w:val="FootnoteReference"/>
          <w:sz w:val="20"/>
          <w:szCs w:val="20"/>
          <w:lang w:val="en-US"/>
        </w:rPr>
        <w:footnoteRef/>
      </w:r>
      <w:r w:rsidRPr="001B1DFE">
        <w:rPr>
          <w:sz w:val="20"/>
          <w:szCs w:val="20"/>
          <w:lang w:val="en-US"/>
        </w:rPr>
        <w:t xml:space="preserve">  </w:t>
      </w:r>
      <w:r w:rsidR="007E0F76">
        <w:rPr>
          <w:sz w:val="20"/>
          <w:szCs w:val="20"/>
          <w:lang w:val="en-US"/>
        </w:rPr>
        <w:t xml:space="preserve">See </w:t>
      </w:r>
      <w:r w:rsidR="007E0F76" w:rsidRPr="007E0F76">
        <w:rPr>
          <w:i/>
          <w:iCs/>
          <w:sz w:val="20"/>
          <w:szCs w:val="20"/>
          <w:lang w:val="en-US"/>
        </w:rPr>
        <w:t>A</w:t>
      </w:r>
      <w:r w:rsidR="007E0F76" w:rsidRPr="007E0F76">
        <w:rPr>
          <w:i/>
          <w:iCs/>
          <w:color w:val="000000"/>
          <w:sz w:val="20"/>
          <w:szCs w:val="20"/>
          <w:shd w:val="clear" w:color="auto" w:fill="FFFFFF"/>
        </w:rPr>
        <w:t>chbita v</w:t>
      </w:r>
      <w:r w:rsidR="007E0F76">
        <w:rPr>
          <w:i/>
          <w:iCs/>
          <w:color w:val="000000"/>
          <w:sz w:val="20"/>
          <w:szCs w:val="20"/>
          <w:shd w:val="clear" w:color="auto" w:fill="FFFFFF"/>
          <w:lang w:val="en-US"/>
        </w:rPr>
        <w:t>.</w:t>
      </w:r>
      <w:r w:rsidR="007E0F76" w:rsidRPr="007E0F76">
        <w:rPr>
          <w:i/>
          <w:iCs/>
          <w:color w:val="000000"/>
          <w:sz w:val="20"/>
          <w:szCs w:val="20"/>
          <w:shd w:val="clear" w:color="auto" w:fill="FFFFFF"/>
        </w:rPr>
        <w:t xml:space="preserve"> G4S Secure Solutions NV</w:t>
      </w:r>
      <w:r w:rsidR="007E0F76">
        <w:rPr>
          <w:i/>
          <w:iCs/>
          <w:color w:val="000000"/>
          <w:sz w:val="20"/>
          <w:szCs w:val="20"/>
          <w:shd w:val="clear" w:color="auto" w:fill="FFFFFF"/>
          <w:lang w:val="en-US"/>
        </w:rPr>
        <w:t>,</w:t>
      </w:r>
      <w:r w:rsidR="007E0F76" w:rsidRPr="007E0F76">
        <w:rPr>
          <w:i/>
          <w:iCs/>
          <w:color w:val="000000"/>
          <w:sz w:val="20"/>
          <w:szCs w:val="20"/>
          <w:shd w:val="clear" w:color="auto" w:fill="FFFFFF"/>
          <w:lang w:val="en-US"/>
        </w:rPr>
        <w:t xml:space="preserve"> </w:t>
      </w:r>
      <w:r w:rsidR="007E0F76">
        <w:rPr>
          <w:i/>
          <w:iCs/>
          <w:color w:val="000000"/>
          <w:sz w:val="20"/>
          <w:szCs w:val="20"/>
          <w:shd w:val="clear" w:color="auto" w:fill="FFFFFF"/>
          <w:lang w:val="en-US"/>
        </w:rPr>
        <w:t xml:space="preserve">op. cit. </w:t>
      </w:r>
      <w:r w:rsidR="007E0F76" w:rsidRPr="007E0F76">
        <w:rPr>
          <w:color w:val="000000"/>
          <w:sz w:val="20"/>
          <w:szCs w:val="20"/>
          <w:shd w:val="clear" w:color="auto" w:fill="FFFFFF"/>
          <w:lang w:val="en-US"/>
        </w:rPr>
        <w:t>(fn.5</w:t>
      </w:r>
      <w:r w:rsidR="00F10A86">
        <w:rPr>
          <w:color w:val="000000"/>
          <w:sz w:val="20"/>
          <w:szCs w:val="20"/>
          <w:shd w:val="clear" w:color="auto" w:fill="FFFFFF"/>
          <w:lang w:val="en-US"/>
        </w:rPr>
        <w:t>9</w:t>
      </w:r>
      <w:r w:rsidR="007E0F76" w:rsidRPr="007E0F76">
        <w:rPr>
          <w:color w:val="000000"/>
          <w:sz w:val="20"/>
          <w:szCs w:val="20"/>
          <w:shd w:val="clear" w:color="auto" w:fill="FFFFFF"/>
          <w:lang w:val="en-US"/>
        </w:rPr>
        <w:t>), para.35</w:t>
      </w:r>
      <w:r w:rsidR="007E0F76">
        <w:rPr>
          <w:color w:val="000000"/>
          <w:sz w:val="20"/>
          <w:szCs w:val="20"/>
          <w:shd w:val="clear" w:color="auto" w:fill="FFFFFF"/>
          <w:lang w:val="en-US"/>
        </w:rPr>
        <w:t xml:space="preserve"> and </w:t>
      </w:r>
      <w:r w:rsidR="007E0F76">
        <w:rPr>
          <w:lang w:val="en-US"/>
        </w:rPr>
        <w:t xml:space="preserve"> </w:t>
      </w:r>
      <w:r w:rsidR="00D272B2" w:rsidRPr="007E0F76">
        <w:rPr>
          <w:i/>
          <w:iCs/>
          <w:sz w:val="20"/>
          <w:szCs w:val="20"/>
          <w:lang w:val="en-US"/>
        </w:rPr>
        <w:t>B</w:t>
      </w:r>
      <w:r w:rsidR="00D272B2" w:rsidRPr="00D272B2">
        <w:rPr>
          <w:i/>
          <w:iCs/>
          <w:color w:val="000000"/>
          <w:sz w:val="20"/>
          <w:szCs w:val="20"/>
          <w:shd w:val="clear" w:color="auto" w:fill="FFFFFF"/>
        </w:rPr>
        <w:t>ougnaoui and ADDH v</w:t>
      </w:r>
      <w:r w:rsidR="00D272B2">
        <w:rPr>
          <w:i/>
          <w:iCs/>
          <w:color w:val="000000"/>
          <w:sz w:val="20"/>
          <w:szCs w:val="20"/>
          <w:shd w:val="clear" w:color="auto" w:fill="FFFFFF"/>
          <w:lang w:val="en-US"/>
        </w:rPr>
        <w:t>.</w:t>
      </w:r>
      <w:r w:rsidR="00D272B2" w:rsidRPr="00D272B2">
        <w:rPr>
          <w:i/>
          <w:iCs/>
          <w:color w:val="000000"/>
          <w:sz w:val="20"/>
          <w:szCs w:val="20"/>
          <w:shd w:val="clear" w:color="auto" w:fill="FFFFFF"/>
        </w:rPr>
        <w:t xml:space="preserve"> Micropole SA</w:t>
      </w:r>
      <w:r w:rsidR="00D272B2">
        <w:rPr>
          <w:i/>
          <w:iCs/>
          <w:color w:val="000000"/>
          <w:sz w:val="20"/>
          <w:szCs w:val="20"/>
          <w:shd w:val="clear" w:color="auto" w:fill="FFFFFF"/>
          <w:lang w:val="en-US"/>
        </w:rPr>
        <w:t>, op.</w:t>
      </w:r>
      <w:r w:rsidR="007E0F76">
        <w:rPr>
          <w:i/>
          <w:iCs/>
          <w:color w:val="000000"/>
          <w:sz w:val="20"/>
          <w:szCs w:val="20"/>
          <w:shd w:val="clear" w:color="auto" w:fill="FFFFFF"/>
          <w:lang w:val="en-US"/>
        </w:rPr>
        <w:t xml:space="preserve"> </w:t>
      </w:r>
      <w:r w:rsidR="00D272B2">
        <w:rPr>
          <w:i/>
          <w:iCs/>
          <w:color w:val="000000"/>
          <w:sz w:val="20"/>
          <w:szCs w:val="20"/>
          <w:shd w:val="clear" w:color="auto" w:fill="FFFFFF"/>
          <w:lang w:val="en-US"/>
        </w:rPr>
        <w:t xml:space="preserve">cit. </w:t>
      </w:r>
      <w:r w:rsidR="00D272B2" w:rsidRPr="007E0F76">
        <w:rPr>
          <w:color w:val="000000"/>
          <w:sz w:val="20"/>
          <w:szCs w:val="20"/>
          <w:shd w:val="clear" w:color="auto" w:fill="FFFFFF"/>
          <w:lang w:val="en-US"/>
        </w:rPr>
        <w:t>(fn.</w:t>
      </w:r>
      <w:r w:rsidR="007E0F76" w:rsidRPr="007E0F76">
        <w:rPr>
          <w:color w:val="000000"/>
          <w:sz w:val="20"/>
          <w:szCs w:val="20"/>
          <w:shd w:val="clear" w:color="auto" w:fill="FFFFFF"/>
          <w:lang w:val="en-US"/>
        </w:rPr>
        <w:t>5</w:t>
      </w:r>
      <w:r w:rsidR="00F10A86">
        <w:rPr>
          <w:color w:val="000000"/>
          <w:sz w:val="20"/>
          <w:szCs w:val="20"/>
          <w:shd w:val="clear" w:color="auto" w:fill="FFFFFF"/>
          <w:lang w:val="en-US"/>
        </w:rPr>
        <w:t>9</w:t>
      </w:r>
      <w:r w:rsidR="007E0F76" w:rsidRPr="007E0F76">
        <w:rPr>
          <w:color w:val="000000"/>
          <w:sz w:val="20"/>
          <w:szCs w:val="20"/>
          <w:shd w:val="clear" w:color="auto" w:fill="FFFFFF"/>
          <w:lang w:val="en-US"/>
        </w:rPr>
        <w:t>), para.35.</w:t>
      </w:r>
    </w:p>
  </w:footnote>
  <w:footnote w:id="62">
    <w:p w14:paraId="35ADD617" w14:textId="45FB1AEE" w:rsidR="00F02A4A" w:rsidRPr="001B1DFE" w:rsidRDefault="00F02A4A" w:rsidP="00D366F5">
      <w:pPr>
        <w:pStyle w:val="FootnoteText"/>
        <w:jc w:val="both"/>
      </w:pPr>
      <w:r w:rsidRPr="001B1DFE">
        <w:rPr>
          <w:rStyle w:val="FootnoteReference"/>
        </w:rPr>
        <w:footnoteRef/>
      </w:r>
      <w:r w:rsidRPr="001B1DFE">
        <w:t xml:space="preserve"> </w:t>
      </w:r>
      <w:r w:rsidR="005A4625" w:rsidRPr="001B1DFE">
        <w:t>Mancini</w:t>
      </w:r>
      <w:r w:rsidR="007E0F76">
        <w:t>, S.;</w:t>
      </w:r>
      <w:r w:rsidR="005A4625" w:rsidRPr="001B1DFE">
        <w:t xml:space="preserve"> Rosenfeld, </w:t>
      </w:r>
      <w:r w:rsidR="007E0F76">
        <w:t>M.,</w:t>
      </w:r>
      <w:r w:rsidR="005A4625" w:rsidRPr="001B1DFE">
        <w:t xml:space="preserve"> </w:t>
      </w:r>
      <w:r w:rsidR="005A4625" w:rsidRPr="001B1DFE">
        <w:rPr>
          <w:i/>
          <w:iCs/>
        </w:rPr>
        <w:t>Nationalism, Populism, Religion, and the Quest to Reframe Fundamental Rights</w:t>
      </w:r>
      <w:r w:rsidR="005A4625" w:rsidRPr="001B1DFE">
        <w:t>, p.3</w:t>
      </w:r>
      <w:r w:rsidR="00831B03">
        <w:t>,</w:t>
      </w:r>
      <w:r w:rsidR="00831B03" w:rsidRPr="00831B03">
        <w:t xml:space="preserve"> https://papers.ssrn.com/sol3/papers.cfm?abstract_id=3677401</w:t>
      </w:r>
      <w:r w:rsidR="00AD24D5">
        <w:t xml:space="preserve"> (28 June 2021)</w:t>
      </w:r>
      <w:r w:rsidR="00831B03">
        <w:t xml:space="preserve"> </w:t>
      </w:r>
    </w:p>
  </w:footnote>
  <w:footnote w:id="63">
    <w:p w14:paraId="148491E6" w14:textId="2FA9876F" w:rsidR="005A4625" w:rsidRPr="001B1DFE" w:rsidRDefault="005A4625" w:rsidP="00D366F5">
      <w:pPr>
        <w:pStyle w:val="FootnoteText"/>
        <w:jc w:val="both"/>
      </w:pPr>
      <w:r w:rsidRPr="001B1DFE">
        <w:rPr>
          <w:rStyle w:val="FootnoteReference"/>
        </w:rPr>
        <w:footnoteRef/>
      </w:r>
      <w:r w:rsidRPr="001B1DFE">
        <w:t xml:space="preserve"> </w:t>
      </w:r>
      <w:proofErr w:type="spellStart"/>
      <w:r w:rsidR="00D366F5" w:rsidRPr="001B1DFE">
        <w:rPr>
          <w:rFonts w:eastAsiaTheme="minorHAnsi"/>
          <w:lang w:eastAsia="en-US"/>
        </w:rPr>
        <w:t>Macklem</w:t>
      </w:r>
      <w:proofErr w:type="spellEnd"/>
      <w:r w:rsidR="00D366F5" w:rsidRPr="001B1DFE">
        <w:rPr>
          <w:rFonts w:eastAsiaTheme="minorHAnsi"/>
          <w:lang w:eastAsia="en-US"/>
        </w:rPr>
        <w:t>,</w:t>
      </w:r>
      <w:r w:rsidR="00AD24D5">
        <w:rPr>
          <w:rFonts w:eastAsiaTheme="minorHAnsi"/>
          <w:lang w:eastAsia="en-US"/>
        </w:rPr>
        <w:t xml:space="preserve"> P.</w:t>
      </w:r>
      <w:r w:rsidR="00AD24D5">
        <w:t xml:space="preserve">, </w:t>
      </w:r>
      <w:r w:rsidR="00D366F5" w:rsidRPr="00AD24D5">
        <w:rPr>
          <w:i/>
          <w:iCs/>
        </w:rPr>
        <w:t>Guarding the Perimeter: Militant Democracy and Religious Freedom in Europe</w:t>
      </w:r>
      <w:r w:rsidR="00D366F5" w:rsidRPr="001B1DFE">
        <w:t xml:space="preserve">, Constellations, </w:t>
      </w:r>
      <w:r w:rsidR="00AD24D5">
        <w:t>v</w:t>
      </w:r>
      <w:r w:rsidR="00D366F5" w:rsidRPr="001B1DFE">
        <w:t>o</w:t>
      </w:r>
      <w:r w:rsidR="00AD24D5">
        <w:t>l</w:t>
      </w:r>
      <w:r w:rsidR="00D366F5" w:rsidRPr="001B1DFE">
        <w:t xml:space="preserve">.19, </w:t>
      </w:r>
      <w:r w:rsidR="00AD24D5">
        <w:t>n</w:t>
      </w:r>
      <w:r w:rsidR="00D366F5" w:rsidRPr="001B1DFE">
        <w:t xml:space="preserve">o.4, 2012, pp.575-590. </w:t>
      </w:r>
    </w:p>
  </w:footnote>
  <w:footnote w:id="64">
    <w:p w14:paraId="14B9CFF2" w14:textId="1E34981C" w:rsidR="00C27D51" w:rsidRPr="001B1DFE" w:rsidRDefault="00C27D51">
      <w:pPr>
        <w:pStyle w:val="FootnoteText"/>
      </w:pPr>
      <w:r w:rsidRPr="001B1DFE">
        <w:rPr>
          <w:rStyle w:val="FootnoteReference"/>
        </w:rPr>
        <w:footnoteRef/>
      </w:r>
      <w:r w:rsidRPr="001B1DFE">
        <w:t xml:space="preserve"> </w:t>
      </w:r>
      <w:r w:rsidR="009037D1" w:rsidRPr="001B1DFE">
        <w:rPr>
          <w:rFonts w:eastAsiaTheme="minorHAnsi"/>
          <w:lang w:eastAsia="en-US"/>
        </w:rPr>
        <w:t xml:space="preserve">Schmitt, </w:t>
      </w:r>
      <w:r w:rsidR="00900AF7">
        <w:rPr>
          <w:rFonts w:eastAsiaTheme="minorHAnsi"/>
          <w:lang w:eastAsia="en-US"/>
        </w:rPr>
        <w:t xml:space="preserve">C., </w:t>
      </w:r>
      <w:r w:rsidR="009037D1" w:rsidRPr="00900AF7">
        <w:rPr>
          <w:rFonts w:eastAsiaTheme="minorHAnsi"/>
          <w:i/>
          <w:iCs/>
          <w:lang w:eastAsia="en-US"/>
        </w:rPr>
        <w:t>The Concept of Political</w:t>
      </w:r>
      <w:r w:rsidR="009037D1" w:rsidRPr="001B1DFE">
        <w:rPr>
          <w:rFonts w:eastAsiaTheme="minorHAnsi"/>
          <w:lang w:eastAsia="en-US"/>
        </w:rPr>
        <w:t xml:space="preserve"> [1932], trans. G. Schwab, University of Chicago Press, Chicago, 2007. </w:t>
      </w:r>
    </w:p>
  </w:footnote>
  <w:footnote w:id="65">
    <w:p w14:paraId="53C45665" w14:textId="44E79E3D" w:rsidR="007C3AEA" w:rsidRPr="001B1DFE" w:rsidRDefault="007C3AEA" w:rsidP="00D366F5">
      <w:pPr>
        <w:pStyle w:val="FootnoteText"/>
        <w:jc w:val="both"/>
      </w:pPr>
      <w:r w:rsidRPr="001B1DFE">
        <w:rPr>
          <w:rStyle w:val="FootnoteReference"/>
        </w:rPr>
        <w:footnoteRef/>
      </w:r>
      <w:r w:rsidRPr="001B1DFE">
        <w:rPr>
          <w:color w:val="0E101A"/>
        </w:rPr>
        <w:t> </w:t>
      </w:r>
      <w:r w:rsidRPr="001B1DFE">
        <w:t xml:space="preserve">Rawls, </w:t>
      </w:r>
      <w:r w:rsidR="00900AF7">
        <w:t xml:space="preserve">J., </w:t>
      </w:r>
      <w:r w:rsidRPr="001B1DFE">
        <w:rPr>
          <w:i/>
        </w:rPr>
        <w:t>A Theory of Justice</w:t>
      </w:r>
      <w:r w:rsidRPr="001B1DFE">
        <w:t xml:space="preserve">, </w:t>
      </w:r>
      <w:r w:rsidRPr="001B1DFE">
        <w:rPr>
          <w:color w:val="222222"/>
          <w:shd w:val="clear" w:color="auto" w:fill="FFFFFF"/>
        </w:rPr>
        <w:t>Oxford University Press,</w:t>
      </w:r>
      <w:r w:rsidR="00900AF7" w:rsidRPr="00900AF7">
        <w:t xml:space="preserve"> </w:t>
      </w:r>
      <w:r w:rsidR="00900AF7" w:rsidRPr="001B1DFE">
        <w:t>Oxford,</w:t>
      </w:r>
      <w:r w:rsidRPr="001B1DFE">
        <w:rPr>
          <w:color w:val="222222"/>
          <w:shd w:val="clear" w:color="auto" w:fill="FFFFFF"/>
        </w:rPr>
        <w:t xml:space="preserve">1972, p.219. </w:t>
      </w:r>
    </w:p>
  </w:footnote>
  <w:footnote w:id="66">
    <w:p w14:paraId="3FBBECFA" w14:textId="68E32B2C" w:rsidR="003E1B9C" w:rsidRPr="001B1DFE" w:rsidRDefault="003E1B9C" w:rsidP="003E1B9C">
      <w:pPr>
        <w:pStyle w:val="FootnoteText"/>
        <w:jc w:val="both"/>
      </w:pPr>
      <w:r w:rsidRPr="001B1DFE">
        <w:rPr>
          <w:rStyle w:val="FootnoteReference"/>
        </w:rPr>
        <w:footnoteRef/>
      </w:r>
      <w:r w:rsidRPr="001B1DFE">
        <w:t xml:space="preserve"> Mancini, </w:t>
      </w:r>
      <w:r w:rsidR="00C378B8">
        <w:t xml:space="preserve">S., </w:t>
      </w:r>
      <w:r w:rsidRPr="00C378B8">
        <w:rPr>
          <w:i/>
          <w:iCs/>
        </w:rPr>
        <w:t xml:space="preserve">The Tempting of Europe, the Political Seduction of the Cross: A </w:t>
      </w:r>
      <w:proofErr w:type="spellStart"/>
      <w:r w:rsidRPr="00C378B8">
        <w:rPr>
          <w:i/>
          <w:iCs/>
        </w:rPr>
        <w:t>Schmittian</w:t>
      </w:r>
      <w:proofErr w:type="spellEnd"/>
      <w:r w:rsidRPr="00C378B8">
        <w:rPr>
          <w:i/>
          <w:iCs/>
        </w:rPr>
        <w:t xml:space="preserve"> Reading of Christianity and Islam in European Constitutionalism</w:t>
      </w:r>
      <w:r w:rsidRPr="001B1DFE">
        <w:t>, in</w:t>
      </w:r>
      <w:r w:rsidR="00C378B8">
        <w:t>:</w:t>
      </w:r>
      <w:r w:rsidRPr="001B1DFE">
        <w:t xml:space="preserve"> Mancini</w:t>
      </w:r>
      <w:r w:rsidR="00C378B8">
        <w:t>, S.;</w:t>
      </w:r>
      <w:r w:rsidRPr="001B1DFE">
        <w:t xml:space="preserve"> Rosenfeld</w:t>
      </w:r>
      <w:r w:rsidR="00C378B8">
        <w:t>, M.</w:t>
      </w:r>
      <w:r w:rsidRPr="001B1DFE">
        <w:t xml:space="preserve"> (eds.)</w:t>
      </w:r>
      <w:r w:rsidR="00C378B8">
        <w:t>,</w:t>
      </w:r>
      <w:r w:rsidRPr="001B1DFE">
        <w:t xml:space="preserve"> </w:t>
      </w:r>
      <w:r w:rsidRPr="001B1DFE">
        <w:rPr>
          <w:i/>
          <w:iCs/>
        </w:rPr>
        <w:t>Constitutional Secularism in an Age of Religious Revival</w:t>
      </w:r>
      <w:r w:rsidRPr="001B1DFE">
        <w:t xml:space="preserve">, Oxford University Press, </w:t>
      </w:r>
      <w:r w:rsidR="00C378B8" w:rsidRPr="001B1DFE">
        <w:t xml:space="preserve">Oxford, </w:t>
      </w:r>
      <w:r w:rsidRPr="001B1DFE">
        <w:t xml:space="preserve">2014, p.127.  </w:t>
      </w:r>
    </w:p>
  </w:footnote>
  <w:footnote w:id="67">
    <w:p w14:paraId="245E806C" w14:textId="02F43358" w:rsidR="00D75FBA" w:rsidRPr="00E10703" w:rsidRDefault="00D75FBA" w:rsidP="00E10703">
      <w:r w:rsidRPr="001B1DFE">
        <w:rPr>
          <w:rStyle w:val="FootnoteReference"/>
          <w:lang w:val="en-US"/>
        </w:rPr>
        <w:footnoteRef/>
      </w:r>
      <w:r w:rsidRPr="001B1DFE">
        <w:rPr>
          <w:lang w:val="en-US"/>
        </w:rPr>
        <w:t xml:space="preserve"> </w:t>
      </w:r>
      <w:r w:rsidR="007F012A" w:rsidRPr="001B1DFE">
        <w:rPr>
          <w:rFonts w:eastAsiaTheme="minorHAnsi"/>
          <w:i/>
          <w:iCs/>
          <w:sz w:val="20"/>
          <w:szCs w:val="20"/>
          <w:lang w:val="en-US" w:eastAsia="en-US"/>
        </w:rPr>
        <w:t>United Communist Party of Turkey and Others v. Turkey</w:t>
      </w:r>
      <w:r w:rsidR="007F012A" w:rsidRPr="001B1DFE">
        <w:rPr>
          <w:rFonts w:eastAsiaTheme="minorHAnsi"/>
          <w:sz w:val="20"/>
          <w:szCs w:val="20"/>
          <w:lang w:val="en-US" w:eastAsia="en-US"/>
        </w:rPr>
        <w:t>, App.no.</w:t>
      </w:r>
      <w:r w:rsidR="00E10703" w:rsidRPr="00E10703">
        <w:rPr>
          <w:color w:val="000000"/>
          <w:sz w:val="20"/>
          <w:szCs w:val="20"/>
          <w:shd w:val="clear" w:color="auto" w:fill="FFFFFF"/>
        </w:rPr>
        <w:t>133/1996/752/951</w:t>
      </w:r>
      <w:r w:rsidR="00E10703">
        <w:rPr>
          <w:lang w:val="en-US"/>
        </w:rPr>
        <w:t xml:space="preserve">, </w:t>
      </w:r>
      <w:r w:rsidR="007F012A" w:rsidRPr="001B1DFE">
        <w:rPr>
          <w:rFonts w:eastAsiaTheme="minorHAnsi"/>
          <w:sz w:val="20"/>
          <w:szCs w:val="20"/>
          <w:lang w:val="en-US" w:eastAsia="en-US"/>
        </w:rPr>
        <w:t>Judgment of 30 January 1998, para.43.</w:t>
      </w:r>
    </w:p>
  </w:footnote>
  <w:footnote w:id="68">
    <w:p w14:paraId="0637B08C" w14:textId="2A0E2173" w:rsidR="007F012A" w:rsidRPr="00B12EB8" w:rsidRDefault="007F012A" w:rsidP="00B12EB8">
      <w:pPr>
        <w:jc w:val="both"/>
        <w:rPr>
          <w:sz w:val="20"/>
          <w:szCs w:val="20"/>
        </w:rPr>
      </w:pPr>
      <w:r w:rsidRPr="00B12EB8">
        <w:rPr>
          <w:rStyle w:val="FootnoteReference"/>
          <w:sz w:val="20"/>
          <w:szCs w:val="20"/>
        </w:rPr>
        <w:footnoteRef/>
      </w:r>
      <w:r w:rsidRPr="00B12EB8">
        <w:rPr>
          <w:sz w:val="20"/>
          <w:szCs w:val="20"/>
        </w:rPr>
        <w:t xml:space="preserve"> </w:t>
      </w:r>
      <w:r w:rsidRPr="00B12EB8">
        <w:rPr>
          <w:rFonts w:eastAsiaTheme="minorHAnsi"/>
          <w:i/>
          <w:iCs/>
          <w:sz w:val="20"/>
          <w:szCs w:val="20"/>
          <w:lang w:eastAsia="en-US"/>
        </w:rPr>
        <w:t>Gorzelik and Others v. Poland</w:t>
      </w:r>
      <w:r w:rsidRPr="00B12EB8">
        <w:rPr>
          <w:rFonts w:eastAsiaTheme="minorHAnsi"/>
          <w:sz w:val="20"/>
          <w:szCs w:val="20"/>
          <w:lang w:eastAsia="en-US"/>
        </w:rPr>
        <w:t>, App.</w:t>
      </w:r>
      <w:r w:rsidR="00B12EB8" w:rsidRPr="00B12EB8">
        <w:rPr>
          <w:rFonts w:eastAsiaTheme="minorHAnsi"/>
          <w:sz w:val="20"/>
          <w:szCs w:val="20"/>
          <w:lang w:eastAsia="en-US"/>
        </w:rPr>
        <w:t xml:space="preserve"> no. </w:t>
      </w:r>
      <w:r w:rsidR="00B12EB8" w:rsidRPr="00B12EB8">
        <w:rPr>
          <w:sz w:val="20"/>
          <w:szCs w:val="20"/>
          <w:shd w:val="clear" w:color="auto" w:fill="FFFFFF"/>
        </w:rPr>
        <w:t>44158/98</w:t>
      </w:r>
      <w:r w:rsidRPr="00B12EB8">
        <w:rPr>
          <w:rFonts w:eastAsiaTheme="minorHAnsi"/>
          <w:sz w:val="20"/>
          <w:szCs w:val="20"/>
          <w:lang w:eastAsia="en-US"/>
        </w:rPr>
        <w:t>, Judgment of 17 February 2004, para. 92.</w:t>
      </w:r>
    </w:p>
  </w:footnote>
  <w:footnote w:id="69">
    <w:p w14:paraId="69D96961" w14:textId="1DC7B59C" w:rsidR="00976DCE" w:rsidRPr="00B12EB8" w:rsidRDefault="00976DCE" w:rsidP="00B12EB8">
      <w:pPr>
        <w:jc w:val="both"/>
        <w:rPr>
          <w:sz w:val="20"/>
          <w:szCs w:val="20"/>
        </w:rPr>
      </w:pPr>
      <w:r w:rsidRPr="00B12EB8">
        <w:rPr>
          <w:rStyle w:val="FootnoteReference"/>
          <w:sz w:val="20"/>
          <w:szCs w:val="20"/>
        </w:rPr>
        <w:footnoteRef/>
      </w:r>
      <w:r w:rsidRPr="00B12EB8">
        <w:rPr>
          <w:sz w:val="20"/>
          <w:szCs w:val="20"/>
        </w:rPr>
        <w:t xml:space="preserve"> </w:t>
      </w:r>
      <w:r w:rsidRPr="00B12EB8">
        <w:rPr>
          <w:bCs/>
          <w:i/>
          <w:sz w:val="20"/>
          <w:szCs w:val="20"/>
        </w:rPr>
        <w:t>Refah</w:t>
      </w:r>
      <w:r w:rsidR="00B12EB8">
        <w:rPr>
          <w:bCs/>
          <w:i/>
          <w:sz w:val="20"/>
          <w:szCs w:val="20"/>
          <w:lang w:val="en-US"/>
        </w:rPr>
        <w:t xml:space="preserve"> </w:t>
      </w:r>
      <w:r w:rsidRPr="00B12EB8">
        <w:rPr>
          <w:bCs/>
          <w:i/>
          <w:sz w:val="20"/>
          <w:szCs w:val="20"/>
        </w:rPr>
        <w:t xml:space="preserve">Partisi (The Welfare Party) And Others v. Turkey, </w:t>
      </w:r>
      <w:r w:rsidRPr="00B12EB8">
        <w:rPr>
          <w:bCs/>
          <w:iCs/>
          <w:sz w:val="20"/>
          <w:szCs w:val="20"/>
        </w:rPr>
        <w:t>App.no.</w:t>
      </w:r>
      <w:r w:rsidR="00B12EB8" w:rsidRPr="00B12EB8">
        <w:rPr>
          <w:sz w:val="20"/>
          <w:szCs w:val="20"/>
        </w:rPr>
        <w:t xml:space="preserve"> 41340/98, 41342/98, 41343/98 and 41344/98</w:t>
      </w:r>
      <w:r w:rsidR="00B12EB8" w:rsidRPr="00B12EB8">
        <w:rPr>
          <w:sz w:val="20"/>
          <w:szCs w:val="20"/>
          <w:lang w:val="en-US"/>
        </w:rPr>
        <w:t xml:space="preserve">, </w:t>
      </w:r>
      <w:r w:rsidRPr="00B12EB8">
        <w:rPr>
          <w:rFonts w:eastAsiaTheme="minorHAnsi"/>
          <w:sz w:val="20"/>
          <w:szCs w:val="20"/>
          <w:lang w:eastAsia="en-US"/>
        </w:rPr>
        <w:t xml:space="preserve">Judgment of 13 February 2003, </w:t>
      </w:r>
      <w:r w:rsidRPr="00B12EB8">
        <w:rPr>
          <w:bCs/>
          <w:sz w:val="20"/>
          <w:szCs w:val="20"/>
        </w:rPr>
        <w:t>paras.117-128.</w:t>
      </w:r>
    </w:p>
  </w:footnote>
  <w:footnote w:id="70">
    <w:p w14:paraId="0DC3E609" w14:textId="74DADA6A" w:rsidR="000C0EC0" w:rsidRPr="001B1DFE" w:rsidRDefault="000C0EC0">
      <w:pPr>
        <w:pStyle w:val="FootnoteText"/>
      </w:pPr>
      <w:r w:rsidRPr="001B1DFE">
        <w:rPr>
          <w:rStyle w:val="FootnoteReference"/>
        </w:rPr>
        <w:footnoteRef/>
      </w:r>
      <w:r w:rsidRPr="001B1DFE">
        <w:t xml:space="preserve"> See </w:t>
      </w:r>
      <w:proofErr w:type="spellStart"/>
      <w:r w:rsidRPr="001B1DFE">
        <w:rPr>
          <w:i/>
          <w:iCs/>
        </w:rPr>
        <w:t>Lautsi</w:t>
      </w:r>
      <w:proofErr w:type="spellEnd"/>
      <w:r w:rsidRPr="001B1DFE">
        <w:rPr>
          <w:i/>
          <w:iCs/>
        </w:rPr>
        <w:t xml:space="preserve"> and Others v. Italy</w:t>
      </w:r>
      <w:r w:rsidRPr="001B1DFE">
        <w:t xml:space="preserve">, App. no. 30814/06, Judgment of </w:t>
      </w:r>
      <w:r w:rsidR="00422E8F">
        <w:t xml:space="preserve">18 March </w:t>
      </w:r>
      <w:r w:rsidR="005012F1" w:rsidRPr="001B1DFE">
        <w:t>2011</w:t>
      </w:r>
      <w:r w:rsidR="00422E8F">
        <w:t>.</w:t>
      </w:r>
    </w:p>
  </w:footnote>
  <w:footnote w:id="71">
    <w:p w14:paraId="65CFEC05" w14:textId="208B6F2E" w:rsidR="006007D5" w:rsidRPr="001B1DFE" w:rsidRDefault="006007D5">
      <w:pPr>
        <w:pStyle w:val="FootnoteText"/>
      </w:pPr>
      <w:r w:rsidRPr="001B1DFE">
        <w:rPr>
          <w:rStyle w:val="FootnoteReference"/>
        </w:rPr>
        <w:footnoteRef/>
      </w:r>
      <w:r w:rsidRPr="001B1DFE">
        <w:t xml:space="preserve"> </w:t>
      </w:r>
      <w:r w:rsidR="00422E8F" w:rsidRPr="001B1DFE">
        <w:t>Beširević</w:t>
      </w:r>
      <w:r w:rsidR="00422E8F">
        <w:t>, V.</w:t>
      </w:r>
      <w:r w:rsidR="00422E8F" w:rsidRPr="001B1DFE">
        <w:t xml:space="preserve"> (ed.), </w:t>
      </w:r>
      <w:r w:rsidR="00422E8F">
        <w:rPr>
          <w:i/>
          <w:iCs/>
        </w:rPr>
        <w:t>op</w:t>
      </w:r>
      <w:r w:rsidR="00422E8F" w:rsidRPr="002F38F4">
        <w:rPr>
          <w:i/>
          <w:iCs/>
        </w:rPr>
        <w:t>.</w:t>
      </w:r>
      <w:r w:rsidR="00422E8F">
        <w:rPr>
          <w:i/>
          <w:iCs/>
        </w:rPr>
        <w:t xml:space="preserve"> </w:t>
      </w:r>
      <w:r w:rsidR="00422E8F" w:rsidRPr="002F38F4">
        <w:rPr>
          <w:i/>
          <w:iCs/>
        </w:rPr>
        <w:t>cit</w:t>
      </w:r>
      <w:r w:rsidR="00422E8F">
        <w:rPr>
          <w:i/>
          <w:iCs/>
        </w:rPr>
        <w:t>.</w:t>
      </w:r>
      <w:r w:rsidR="00422E8F" w:rsidRPr="002F38F4">
        <w:t>(fn.</w:t>
      </w:r>
      <w:r w:rsidR="003C3046">
        <w:t>31</w:t>
      </w:r>
      <w:r w:rsidR="00422E8F" w:rsidRPr="002F38F4">
        <w:t>)</w:t>
      </w:r>
      <w:r w:rsidR="00422E8F">
        <w:t>,p</w:t>
      </w:r>
      <w:r w:rsidR="0007748B">
        <w:t>p.254-255.</w:t>
      </w:r>
    </w:p>
  </w:footnote>
  <w:footnote w:id="72">
    <w:p w14:paraId="7A382EE4" w14:textId="3C434F1D" w:rsidR="006007D5" w:rsidRPr="001B1DFE" w:rsidRDefault="006007D5">
      <w:pPr>
        <w:pStyle w:val="FootnoteText"/>
      </w:pPr>
      <w:r w:rsidRPr="001B1DFE">
        <w:rPr>
          <w:rStyle w:val="FootnoteReference"/>
        </w:rPr>
        <w:footnoteRef/>
      </w:r>
      <w:r w:rsidRPr="001B1DFE">
        <w:t xml:space="preserve"> </w:t>
      </w:r>
      <w:r w:rsidRPr="0007748B">
        <w:rPr>
          <w:i/>
          <w:iCs/>
        </w:rPr>
        <w:t>Ibid</w:t>
      </w:r>
      <w:r w:rsidRPr="001B1DFE">
        <w:t xml:space="preserve">. </w:t>
      </w:r>
    </w:p>
  </w:footnote>
  <w:footnote w:id="73">
    <w:p w14:paraId="2983BA46" w14:textId="2313B496" w:rsidR="006007D5" w:rsidRPr="001B1DFE" w:rsidRDefault="006007D5">
      <w:pPr>
        <w:pStyle w:val="FootnoteText"/>
      </w:pPr>
      <w:r w:rsidRPr="001B1DFE">
        <w:rPr>
          <w:rStyle w:val="FootnoteReference"/>
        </w:rPr>
        <w:footnoteRef/>
      </w:r>
      <w:r w:rsidRPr="001B1DFE">
        <w:t xml:space="preserve"> </w:t>
      </w:r>
      <w:proofErr w:type="spellStart"/>
      <w:r w:rsidR="00585684" w:rsidRPr="00CD105B">
        <w:t>Sajó</w:t>
      </w:r>
      <w:proofErr w:type="spellEnd"/>
      <w:r w:rsidR="00585684" w:rsidRPr="00CD105B">
        <w:rPr>
          <w:rFonts w:eastAsiaTheme="minorHAnsi"/>
          <w:lang w:val="en-GB" w:eastAsia="en-US"/>
        </w:rPr>
        <w:t>,</w:t>
      </w:r>
      <w:r w:rsidR="00585684">
        <w:rPr>
          <w:rFonts w:eastAsiaTheme="minorHAnsi"/>
          <w:lang w:val="en-GB" w:eastAsia="en-US"/>
        </w:rPr>
        <w:t xml:space="preserve"> A., op</w:t>
      </w:r>
      <w:r w:rsidR="00585684" w:rsidRPr="00585684">
        <w:rPr>
          <w:rFonts w:eastAsiaTheme="minorHAnsi"/>
          <w:i/>
          <w:iCs/>
          <w:lang w:val="en-GB" w:eastAsia="en-US"/>
        </w:rPr>
        <w:t>. cit.</w:t>
      </w:r>
      <w:r w:rsidR="00585684">
        <w:rPr>
          <w:rFonts w:eastAsiaTheme="minorHAnsi"/>
          <w:lang w:val="en-GB" w:eastAsia="en-US"/>
        </w:rPr>
        <w:t xml:space="preserve"> (fn.4), p.213.</w:t>
      </w:r>
    </w:p>
  </w:footnote>
  <w:footnote w:id="74">
    <w:p w14:paraId="1D91FD15" w14:textId="2C73DC7A" w:rsidR="006007D5" w:rsidRPr="001B1DFE" w:rsidRDefault="006007D5">
      <w:pPr>
        <w:pStyle w:val="FootnoteText"/>
      </w:pPr>
      <w:r w:rsidRPr="001B1DFE">
        <w:rPr>
          <w:rStyle w:val="FootnoteReference"/>
        </w:rPr>
        <w:footnoteRef/>
      </w:r>
      <w:r w:rsidRPr="001B1DFE">
        <w:t xml:space="preserve"> </w:t>
      </w:r>
      <w:r w:rsidRPr="001B1DFE">
        <w:rPr>
          <w:rFonts w:eastAsiaTheme="minorHAnsi"/>
          <w:i/>
          <w:iCs/>
          <w:lang w:eastAsia="en-US"/>
        </w:rPr>
        <w:t xml:space="preserve">Leyla </w:t>
      </w:r>
      <w:proofErr w:type="spellStart"/>
      <w:r w:rsidRPr="001B1DFE">
        <w:rPr>
          <w:rFonts w:eastAsiaTheme="minorHAnsi"/>
          <w:i/>
          <w:iCs/>
          <w:lang w:eastAsia="en-US"/>
        </w:rPr>
        <w:t>Şahin</w:t>
      </w:r>
      <w:proofErr w:type="spellEnd"/>
      <w:r w:rsidRPr="001B1DFE">
        <w:rPr>
          <w:rFonts w:eastAsiaTheme="minorHAnsi"/>
          <w:i/>
          <w:iCs/>
          <w:lang w:eastAsia="en-US"/>
        </w:rPr>
        <w:t xml:space="preserve"> v. Turkey</w:t>
      </w:r>
      <w:r w:rsidRPr="001B1DFE">
        <w:rPr>
          <w:rFonts w:eastAsiaTheme="minorHAnsi"/>
          <w:lang w:eastAsia="en-US"/>
        </w:rPr>
        <w:t xml:space="preserve">, </w:t>
      </w:r>
      <w:proofErr w:type="spellStart"/>
      <w:r w:rsidR="00585684">
        <w:rPr>
          <w:rFonts w:eastAsiaTheme="minorHAnsi"/>
          <w:lang w:eastAsia="en-US"/>
        </w:rPr>
        <w:t>op.cit</w:t>
      </w:r>
      <w:proofErr w:type="spellEnd"/>
      <w:r w:rsidR="00585684">
        <w:rPr>
          <w:rFonts w:eastAsiaTheme="minorHAnsi"/>
          <w:lang w:eastAsia="en-US"/>
        </w:rPr>
        <w:t>., (fn.5</w:t>
      </w:r>
      <w:r w:rsidR="003C3046">
        <w:rPr>
          <w:rFonts w:eastAsiaTheme="minorHAnsi"/>
          <w:lang w:eastAsia="en-US"/>
        </w:rPr>
        <w:t>6</w:t>
      </w:r>
      <w:r w:rsidR="00585684">
        <w:rPr>
          <w:rFonts w:eastAsiaTheme="minorHAnsi"/>
          <w:lang w:eastAsia="en-US"/>
        </w:rPr>
        <w:t>), D</w:t>
      </w:r>
      <w:r w:rsidRPr="001B1DFE">
        <w:rPr>
          <w:rFonts w:eastAsiaTheme="minorHAnsi"/>
          <w:lang w:eastAsia="en-US"/>
        </w:rPr>
        <w:t xml:space="preserve">issenting </w:t>
      </w:r>
      <w:r w:rsidR="00585684">
        <w:rPr>
          <w:rFonts w:eastAsiaTheme="minorHAnsi"/>
          <w:lang w:eastAsia="en-US"/>
        </w:rPr>
        <w:t>O</w:t>
      </w:r>
      <w:r w:rsidRPr="001B1DFE">
        <w:rPr>
          <w:rFonts w:eastAsiaTheme="minorHAnsi"/>
          <w:lang w:eastAsia="en-US"/>
        </w:rPr>
        <w:t xml:space="preserve">pinion of </w:t>
      </w:r>
      <w:r w:rsidR="005D09C1" w:rsidRPr="001B1DFE">
        <w:rPr>
          <w:rFonts w:eastAsiaTheme="minorHAnsi"/>
          <w:lang w:eastAsia="en-US"/>
        </w:rPr>
        <w:t xml:space="preserve">Judge </w:t>
      </w:r>
      <w:proofErr w:type="spellStart"/>
      <w:r w:rsidRPr="001B1DFE">
        <w:t>Tulkens</w:t>
      </w:r>
      <w:proofErr w:type="spellEnd"/>
      <w:r w:rsidRPr="001B1DFE">
        <w:t>, par</w:t>
      </w:r>
      <w:r w:rsidR="005D09C1" w:rsidRPr="001B1DFE">
        <w:t>a</w:t>
      </w:r>
      <w:r w:rsidRPr="001B1DFE">
        <w:t>.10.</w:t>
      </w:r>
    </w:p>
  </w:footnote>
  <w:footnote w:id="75">
    <w:p w14:paraId="7A147605" w14:textId="22BB4389" w:rsidR="00FC4E52" w:rsidRPr="001B1DFE" w:rsidRDefault="00FC4E52" w:rsidP="00FC4E52">
      <w:pPr>
        <w:autoSpaceDE w:val="0"/>
        <w:autoSpaceDN w:val="0"/>
        <w:adjustRightInd w:val="0"/>
        <w:jc w:val="both"/>
        <w:rPr>
          <w:rFonts w:eastAsiaTheme="minorHAnsi"/>
          <w:sz w:val="20"/>
          <w:szCs w:val="20"/>
          <w:lang w:val="en-US" w:eastAsia="en-US"/>
        </w:rPr>
      </w:pPr>
      <w:r w:rsidRPr="001B1DFE">
        <w:rPr>
          <w:rStyle w:val="FootnoteReference"/>
          <w:sz w:val="20"/>
          <w:szCs w:val="20"/>
          <w:lang w:val="en-US"/>
        </w:rPr>
        <w:footnoteRef/>
      </w:r>
      <w:r w:rsidRPr="001B1DFE">
        <w:rPr>
          <w:sz w:val="20"/>
          <w:szCs w:val="20"/>
          <w:lang w:val="en-US"/>
        </w:rPr>
        <w:t xml:space="preserve"> </w:t>
      </w:r>
      <w:proofErr w:type="spellStart"/>
      <w:r w:rsidRPr="001B1DFE">
        <w:rPr>
          <w:sz w:val="20"/>
          <w:szCs w:val="20"/>
          <w:lang w:val="en-US"/>
        </w:rPr>
        <w:t>Mancini,</w:t>
      </w:r>
      <w:r w:rsidR="00585684">
        <w:rPr>
          <w:sz w:val="20"/>
          <w:szCs w:val="20"/>
          <w:lang w:val="en-US"/>
        </w:rPr>
        <w:t>S</w:t>
      </w:r>
      <w:proofErr w:type="spellEnd"/>
      <w:r w:rsidR="00585684">
        <w:rPr>
          <w:sz w:val="20"/>
          <w:szCs w:val="20"/>
          <w:lang w:val="en-US"/>
        </w:rPr>
        <w:t>.,</w:t>
      </w:r>
      <w:r w:rsidRPr="001B1DFE">
        <w:rPr>
          <w:rFonts w:eastAsiaTheme="minorHAnsi"/>
          <w:sz w:val="20"/>
          <w:szCs w:val="20"/>
          <w:lang w:val="en-US" w:eastAsia="en-US"/>
        </w:rPr>
        <w:t xml:space="preserve"> </w:t>
      </w:r>
      <w:r w:rsidRPr="00585684">
        <w:rPr>
          <w:rFonts w:eastAsiaTheme="minorHAnsi"/>
          <w:i/>
          <w:iCs/>
          <w:sz w:val="20"/>
          <w:szCs w:val="20"/>
          <w:lang w:val="en-US" w:eastAsia="en-US"/>
        </w:rPr>
        <w:t xml:space="preserve">European Law and the Veil: </w:t>
      </w:r>
      <w:r w:rsidR="00585684" w:rsidRPr="00585684">
        <w:rPr>
          <w:rFonts w:eastAsiaTheme="minorHAnsi"/>
          <w:i/>
          <w:iCs/>
          <w:sz w:val="20"/>
          <w:szCs w:val="20"/>
          <w:lang w:val="en-US" w:eastAsia="en-US"/>
        </w:rPr>
        <w:t>Muslim</w:t>
      </w:r>
      <w:r w:rsidRPr="00585684">
        <w:rPr>
          <w:rFonts w:eastAsiaTheme="minorHAnsi"/>
          <w:i/>
          <w:iCs/>
          <w:sz w:val="20"/>
          <w:szCs w:val="20"/>
          <w:lang w:val="en-US" w:eastAsia="en-US"/>
        </w:rPr>
        <w:t xml:space="preserve"> Women </w:t>
      </w:r>
      <w:r w:rsidR="008E24D9">
        <w:rPr>
          <w:rFonts w:eastAsiaTheme="minorHAnsi"/>
          <w:i/>
          <w:iCs/>
          <w:sz w:val="20"/>
          <w:szCs w:val="20"/>
          <w:lang w:val="en-US" w:eastAsia="en-US"/>
        </w:rPr>
        <w:t>f</w:t>
      </w:r>
      <w:r w:rsidRPr="00585684">
        <w:rPr>
          <w:rFonts w:eastAsiaTheme="minorHAnsi"/>
          <w:i/>
          <w:iCs/>
          <w:sz w:val="20"/>
          <w:szCs w:val="20"/>
          <w:lang w:val="en-US" w:eastAsia="en-US"/>
        </w:rPr>
        <w:t>rom Victims to Emblems of the Enemy</w:t>
      </w:r>
      <w:r w:rsidRPr="001B1DFE">
        <w:rPr>
          <w:rFonts w:eastAsiaTheme="minorHAnsi"/>
          <w:sz w:val="20"/>
          <w:szCs w:val="20"/>
          <w:lang w:val="en-US" w:eastAsia="en-US"/>
        </w:rPr>
        <w:t>, in</w:t>
      </w:r>
      <w:r w:rsidR="00585684">
        <w:rPr>
          <w:rFonts w:eastAsiaTheme="minorHAnsi"/>
          <w:sz w:val="20"/>
          <w:szCs w:val="20"/>
          <w:lang w:val="en-US" w:eastAsia="en-US"/>
        </w:rPr>
        <w:t>:</w:t>
      </w:r>
      <w:r w:rsidR="008E24D9">
        <w:rPr>
          <w:rFonts w:eastAsiaTheme="minorHAnsi"/>
          <w:sz w:val="20"/>
          <w:szCs w:val="20"/>
          <w:lang w:val="en-US" w:eastAsia="en-US"/>
        </w:rPr>
        <w:t xml:space="preserve"> </w:t>
      </w:r>
      <w:proofErr w:type="spellStart"/>
      <w:r w:rsidRPr="001B1DFE">
        <w:rPr>
          <w:rFonts w:eastAsiaTheme="minorHAnsi"/>
          <w:sz w:val="20"/>
          <w:szCs w:val="20"/>
          <w:lang w:val="en-US" w:eastAsia="en-US"/>
        </w:rPr>
        <w:t>Melloni</w:t>
      </w:r>
      <w:proofErr w:type="spellEnd"/>
      <w:r w:rsidRPr="001B1DFE">
        <w:rPr>
          <w:rFonts w:eastAsiaTheme="minorHAnsi"/>
          <w:sz w:val="20"/>
          <w:szCs w:val="20"/>
          <w:lang w:val="en-US" w:eastAsia="en-US"/>
        </w:rPr>
        <w:t>,</w:t>
      </w:r>
      <w:r w:rsidR="008E24D9">
        <w:rPr>
          <w:rFonts w:eastAsiaTheme="minorHAnsi"/>
          <w:sz w:val="20"/>
          <w:szCs w:val="20"/>
          <w:lang w:val="en-US" w:eastAsia="en-US"/>
        </w:rPr>
        <w:t xml:space="preserve"> </w:t>
      </w:r>
      <w:r w:rsidR="00585684">
        <w:rPr>
          <w:rFonts w:eastAsiaTheme="minorHAnsi"/>
          <w:sz w:val="20"/>
          <w:szCs w:val="20"/>
          <w:lang w:val="en-US" w:eastAsia="en-US"/>
        </w:rPr>
        <w:t>A.;</w:t>
      </w:r>
      <w:r w:rsidRPr="001B1DFE">
        <w:rPr>
          <w:rFonts w:eastAsiaTheme="minorHAnsi"/>
          <w:sz w:val="20"/>
          <w:szCs w:val="20"/>
          <w:lang w:val="en-US" w:eastAsia="en-US"/>
        </w:rPr>
        <w:t xml:space="preserve"> </w:t>
      </w:r>
      <w:proofErr w:type="spellStart"/>
      <w:r w:rsidRPr="001B1DFE">
        <w:rPr>
          <w:rFonts w:eastAsiaTheme="minorHAnsi"/>
          <w:sz w:val="20"/>
          <w:szCs w:val="20"/>
          <w:lang w:val="en-US" w:eastAsia="en-US"/>
        </w:rPr>
        <w:t>Cadeddu</w:t>
      </w:r>
      <w:proofErr w:type="spellEnd"/>
      <w:r w:rsidR="00585684">
        <w:rPr>
          <w:rFonts w:eastAsiaTheme="minorHAnsi"/>
          <w:sz w:val="20"/>
          <w:szCs w:val="20"/>
          <w:lang w:val="en-US" w:eastAsia="en-US"/>
        </w:rPr>
        <w:t>, F.</w:t>
      </w:r>
      <w:r w:rsidRPr="001B1DFE">
        <w:rPr>
          <w:rFonts w:eastAsiaTheme="minorHAnsi"/>
          <w:sz w:val="20"/>
          <w:szCs w:val="20"/>
          <w:lang w:val="en-US" w:eastAsia="en-US"/>
        </w:rPr>
        <w:t xml:space="preserve"> </w:t>
      </w:r>
      <w:r w:rsidR="00585684">
        <w:rPr>
          <w:rFonts w:eastAsiaTheme="minorHAnsi"/>
          <w:sz w:val="20"/>
          <w:szCs w:val="20"/>
          <w:lang w:val="en-US" w:eastAsia="en-US"/>
        </w:rPr>
        <w:t>(</w:t>
      </w:r>
      <w:r w:rsidRPr="001B1DFE">
        <w:rPr>
          <w:rFonts w:eastAsiaTheme="minorHAnsi"/>
          <w:sz w:val="20"/>
          <w:szCs w:val="20"/>
          <w:lang w:val="en-US" w:eastAsia="en-US"/>
        </w:rPr>
        <w:t>eds.</w:t>
      </w:r>
      <w:r w:rsidR="00585684">
        <w:rPr>
          <w:rFonts w:eastAsiaTheme="minorHAnsi"/>
          <w:sz w:val="20"/>
          <w:szCs w:val="20"/>
          <w:lang w:val="en-US" w:eastAsia="en-US"/>
        </w:rPr>
        <w:t>)</w:t>
      </w:r>
      <w:r w:rsidRPr="001B1DFE">
        <w:rPr>
          <w:rFonts w:eastAsiaTheme="minorHAnsi"/>
          <w:sz w:val="20"/>
          <w:szCs w:val="20"/>
          <w:lang w:val="en-US" w:eastAsia="en-US"/>
        </w:rPr>
        <w:t>,</w:t>
      </w:r>
      <w:r w:rsidR="00585684">
        <w:rPr>
          <w:rFonts w:eastAsiaTheme="minorHAnsi"/>
          <w:sz w:val="20"/>
          <w:szCs w:val="20"/>
          <w:lang w:val="en-US" w:eastAsia="en-US"/>
        </w:rPr>
        <w:t xml:space="preserve"> </w:t>
      </w:r>
      <w:r w:rsidRPr="00585684">
        <w:rPr>
          <w:rFonts w:eastAsiaTheme="minorHAnsi"/>
          <w:i/>
          <w:iCs/>
          <w:sz w:val="20"/>
          <w:szCs w:val="20"/>
          <w:lang w:val="en-US" w:eastAsia="en-US"/>
        </w:rPr>
        <w:t>Religious Literacy, Law and History</w:t>
      </w:r>
      <w:r w:rsidR="008E24D9">
        <w:rPr>
          <w:rFonts w:eastAsiaTheme="minorHAnsi"/>
          <w:i/>
          <w:iCs/>
          <w:sz w:val="20"/>
          <w:szCs w:val="20"/>
          <w:lang w:val="en-US" w:eastAsia="en-US"/>
        </w:rPr>
        <w:t xml:space="preserve">: </w:t>
      </w:r>
      <w:r w:rsidRPr="00585684">
        <w:rPr>
          <w:rFonts w:eastAsiaTheme="minorHAnsi"/>
          <w:i/>
          <w:iCs/>
          <w:sz w:val="20"/>
          <w:szCs w:val="20"/>
          <w:lang w:val="en-US" w:eastAsia="en-US"/>
        </w:rPr>
        <w:t>Perspectives on European Pluralistic Societies</w:t>
      </w:r>
      <w:r w:rsidRPr="001B1DFE">
        <w:rPr>
          <w:rFonts w:eastAsiaTheme="minorHAnsi"/>
          <w:sz w:val="20"/>
          <w:szCs w:val="20"/>
          <w:lang w:val="en-US" w:eastAsia="en-US"/>
        </w:rPr>
        <w:t xml:space="preserve">, Routledge, </w:t>
      </w:r>
      <w:r w:rsidR="008E24D9">
        <w:rPr>
          <w:rFonts w:eastAsiaTheme="minorHAnsi"/>
          <w:sz w:val="20"/>
          <w:szCs w:val="20"/>
          <w:lang w:val="en-US" w:eastAsia="en-US"/>
        </w:rPr>
        <w:t xml:space="preserve">London, New York, </w:t>
      </w:r>
      <w:r w:rsidRPr="001B1DFE">
        <w:rPr>
          <w:rFonts w:eastAsiaTheme="minorHAnsi"/>
          <w:sz w:val="20"/>
          <w:szCs w:val="20"/>
          <w:lang w:val="en-US" w:eastAsia="en-US"/>
        </w:rPr>
        <w:t xml:space="preserve">2019, p.129. </w:t>
      </w:r>
    </w:p>
  </w:footnote>
  <w:footnote w:id="76">
    <w:p w14:paraId="3C31D671" w14:textId="0950A29E" w:rsidR="00D71B13" w:rsidRPr="00166D8B" w:rsidRDefault="00D71B13">
      <w:pPr>
        <w:pStyle w:val="FootnoteText"/>
      </w:pPr>
      <w:r w:rsidRPr="00166D8B">
        <w:rPr>
          <w:rStyle w:val="FootnoteReference"/>
        </w:rPr>
        <w:footnoteRef/>
      </w:r>
      <w:r w:rsidRPr="00166D8B">
        <w:t xml:space="preserve"> Said, </w:t>
      </w:r>
      <w:r w:rsidR="007D30B4" w:rsidRPr="00166D8B">
        <w:t xml:space="preserve">E., </w:t>
      </w:r>
      <w:r w:rsidRPr="00166D8B">
        <w:rPr>
          <w:i/>
          <w:iCs/>
        </w:rPr>
        <w:t>Orientalism</w:t>
      </w:r>
      <w:r w:rsidRPr="00166D8B">
        <w:t xml:space="preserve">, </w:t>
      </w:r>
      <w:r w:rsidR="008E24D9" w:rsidRPr="00166D8B">
        <w:t>Penguin R</w:t>
      </w:r>
      <w:r w:rsidRPr="00166D8B">
        <w:t xml:space="preserve">andom </w:t>
      </w:r>
      <w:r w:rsidR="008E24D9" w:rsidRPr="00166D8B">
        <w:t>H</w:t>
      </w:r>
      <w:r w:rsidRPr="00166D8B">
        <w:t xml:space="preserve">ouse, </w:t>
      </w:r>
      <w:r w:rsidR="00237CB0" w:rsidRPr="00166D8B">
        <w:t xml:space="preserve">New York, </w:t>
      </w:r>
      <w:r w:rsidRPr="00166D8B">
        <w:t xml:space="preserve">1979, pp.19-20. </w:t>
      </w:r>
    </w:p>
  </w:footnote>
  <w:footnote w:id="77">
    <w:p w14:paraId="72CF5D08" w14:textId="3B813013" w:rsidR="00741C7E" w:rsidRPr="00166D8B" w:rsidRDefault="00741C7E" w:rsidP="00741C7E">
      <w:pPr>
        <w:rPr>
          <w:sz w:val="20"/>
          <w:szCs w:val="20"/>
        </w:rPr>
      </w:pPr>
      <w:r w:rsidRPr="00166D8B">
        <w:rPr>
          <w:rStyle w:val="FootnoteReference"/>
          <w:sz w:val="20"/>
          <w:szCs w:val="20"/>
        </w:rPr>
        <w:footnoteRef/>
      </w:r>
      <w:r w:rsidRPr="00166D8B">
        <w:rPr>
          <w:sz w:val="20"/>
          <w:szCs w:val="20"/>
        </w:rPr>
        <w:t xml:space="preserve"> </w:t>
      </w:r>
      <w:r w:rsidRPr="00166D8B">
        <w:rPr>
          <w:rStyle w:val="Emphasis"/>
          <w:sz w:val="20"/>
          <w:szCs w:val="20"/>
          <w:shd w:val="clear" w:color="auto" w:fill="FFFFFF"/>
        </w:rPr>
        <w:t>Korematsu v</w:t>
      </w:r>
      <w:r w:rsidRPr="00166D8B">
        <w:rPr>
          <w:sz w:val="20"/>
          <w:szCs w:val="20"/>
          <w:shd w:val="clear" w:color="auto" w:fill="FFFFFF"/>
        </w:rPr>
        <w:t>. </w:t>
      </w:r>
      <w:r w:rsidRPr="00166D8B">
        <w:rPr>
          <w:rStyle w:val="Emphasis"/>
          <w:sz w:val="20"/>
          <w:szCs w:val="20"/>
          <w:shd w:val="clear" w:color="auto" w:fill="FFFFFF"/>
        </w:rPr>
        <w:t>United States</w:t>
      </w:r>
      <w:r w:rsidRPr="00166D8B">
        <w:rPr>
          <w:sz w:val="20"/>
          <w:szCs w:val="20"/>
          <w:shd w:val="clear" w:color="auto" w:fill="FFFFFF"/>
        </w:rPr>
        <w:t>, 323 U.S. 214 (1944)</w:t>
      </w:r>
      <w:r w:rsidRPr="00166D8B">
        <w:rPr>
          <w:sz w:val="20"/>
          <w:szCs w:val="20"/>
          <w:shd w:val="clear" w:color="auto" w:fill="FFFFFF"/>
          <w:lang w:val="en-US"/>
        </w:rPr>
        <w:t>.</w:t>
      </w:r>
      <w:r w:rsidRPr="00166D8B">
        <w:rPr>
          <w:rFonts w:ascii="Arial" w:hAnsi="Arial" w:cs="Arial"/>
          <w:sz w:val="20"/>
          <w:szCs w:val="20"/>
          <w:shd w:val="clear" w:color="auto" w:fill="FFFFFF"/>
        </w:rPr>
        <w:t> </w:t>
      </w:r>
    </w:p>
  </w:footnote>
  <w:footnote w:id="78">
    <w:p w14:paraId="6AE7E363" w14:textId="64652B34" w:rsidR="0043734C" w:rsidRPr="00166D8B" w:rsidRDefault="0043734C" w:rsidP="0043734C">
      <w:pPr>
        <w:rPr>
          <w:sz w:val="20"/>
          <w:szCs w:val="20"/>
          <w:lang w:val="en-US"/>
        </w:rPr>
      </w:pPr>
      <w:r w:rsidRPr="00166D8B">
        <w:rPr>
          <w:rStyle w:val="FootnoteReference"/>
          <w:sz w:val="20"/>
          <w:szCs w:val="20"/>
        </w:rPr>
        <w:footnoteRef/>
      </w:r>
      <w:r w:rsidRPr="00166D8B">
        <w:rPr>
          <w:sz w:val="20"/>
          <w:szCs w:val="20"/>
        </w:rPr>
        <w:t xml:space="preserve"> </w:t>
      </w:r>
      <w:r w:rsidRPr="00B8643C">
        <w:rPr>
          <w:i/>
          <w:iCs/>
          <w:sz w:val="20"/>
          <w:szCs w:val="20"/>
          <w:lang w:val="en-US"/>
        </w:rPr>
        <w:t>T</w:t>
      </w:r>
      <w:r w:rsidRPr="00166D8B">
        <w:rPr>
          <w:rStyle w:val="Emphasis"/>
          <w:sz w:val="20"/>
          <w:szCs w:val="20"/>
          <w:shd w:val="clear" w:color="auto" w:fill="FFFFFF"/>
        </w:rPr>
        <w:t>rump v</w:t>
      </w:r>
      <w:r w:rsidRPr="00166D8B">
        <w:rPr>
          <w:sz w:val="20"/>
          <w:szCs w:val="20"/>
          <w:shd w:val="clear" w:color="auto" w:fill="FFFFFF"/>
        </w:rPr>
        <w:t>. </w:t>
      </w:r>
      <w:r w:rsidRPr="00166D8B">
        <w:rPr>
          <w:rStyle w:val="Emphasis"/>
          <w:sz w:val="20"/>
          <w:szCs w:val="20"/>
          <w:shd w:val="clear" w:color="auto" w:fill="FFFFFF"/>
        </w:rPr>
        <w:t>Hawaii</w:t>
      </w:r>
      <w:r w:rsidRPr="00166D8B">
        <w:rPr>
          <w:sz w:val="20"/>
          <w:szCs w:val="20"/>
          <w:shd w:val="clear" w:color="auto" w:fill="FFFFFF"/>
        </w:rPr>
        <w:t>, 138 S.Ct. 2392 (2018)</w:t>
      </w:r>
      <w:r w:rsidRPr="00166D8B">
        <w:rPr>
          <w:sz w:val="20"/>
          <w:szCs w:val="20"/>
          <w:shd w:val="clear" w:color="auto" w:fill="FFFFFF"/>
          <w:lang w:val="en-US"/>
        </w:rPr>
        <w:t xml:space="preserve">, p.38. </w:t>
      </w:r>
    </w:p>
    <w:p w14:paraId="32F44237" w14:textId="5D0B3B08" w:rsidR="0043734C" w:rsidRPr="00166D8B" w:rsidRDefault="0043734C" w:rsidP="0043734C">
      <w:pPr>
        <w:jc w:val="both"/>
        <w:rPr>
          <w:sz w:val="20"/>
          <w:szCs w:val="20"/>
        </w:rPr>
      </w:pPr>
    </w:p>
    <w:p w14:paraId="19503B31" w14:textId="5F9D0E55" w:rsidR="0043734C" w:rsidRDefault="0043734C" w:rsidP="0043734C"/>
    <w:p w14:paraId="2D836D28" w14:textId="35FB7688" w:rsidR="0043734C" w:rsidRDefault="0043734C">
      <w:pPr>
        <w:pStyle w:val="FootnoteText"/>
      </w:pPr>
    </w:p>
  </w:footnote>
  <w:footnote w:id="79">
    <w:p w14:paraId="53F4878F" w14:textId="13FED0B9" w:rsidR="00AC2EBE" w:rsidRPr="001B1DFE" w:rsidRDefault="00AC2EBE" w:rsidP="00F15F1C">
      <w:pPr>
        <w:pStyle w:val="FootnoteText"/>
        <w:jc w:val="both"/>
      </w:pPr>
      <w:r w:rsidRPr="001B1DFE">
        <w:rPr>
          <w:rStyle w:val="FootnoteReference"/>
        </w:rPr>
        <w:footnoteRef/>
      </w:r>
      <w:r w:rsidRPr="001B1DFE">
        <w:t xml:space="preserve"> </w:t>
      </w:r>
      <w:proofErr w:type="spellStart"/>
      <w:r w:rsidR="00F15F1C" w:rsidRPr="001B1DFE">
        <w:t>Tushnet</w:t>
      </w:r>
      <w:proofErr w:type="spellEnd"/>
      <w:r w:rsidR="00F15F1C" w:rsidRPr="001B1DFE">
        <w:t xml:space="preserve">, </w:t>
      </w:r>
      <w:r w:rsidR="00C77E45">
        <w:t xml:space="preserve">M., </w:t>
      </w:r>
      <w:r w:rsidR="00F15F1C" w:rsidRPr="00C77E45">
        <w:rPr>
          <w:i/>
          <w:iCs/>
        </w:rPr>
        <w:t>United States of America</w:t>
      </w:r>
      <w:r w:rsidR="00F15F1C" w:rsidRPr="001B1DFE">
        <w:t>, in</w:t>
      </w:r>
      <w:r w:rsidR="00C77E45">
        <w:t xml:space="preserve">: </w:t>
      </w:r>
      <w:r w:rsidR="00F15F1C" w:rsidRPr="001B1DFE">
        <w:t>Thiel,</w:t>
      </w:r>
      <w:r w:rsidR="00C77E45">
        <w:t xml:space="preserve"> M., </w:t>
      </w:r>
      <w:r w:rsidR="00C77E45" w:rsidRPr="00C77E45">
        <w:rPr>
          <w:i/>
          <w:iCs/>
        </w:rPr>
        <w:t>op.cit</w:t>
      </w:r>
      <w:r w:rsidR="00C77E45">
        <w:t xml:space="preserve">. (fn.1), </w:t>
      </w:r>
      <w:r w:rsidR="00F15F1C" w:rsidRPr="001B1DFE">
        <w:t xml:space="preserve">p. 357. </w:t>
      </w:r>
    </w:p>
  </w:footnote>
  <w:footnote w:id="80">
    <w:p w14:paraId="73E72582" w14:textId="65CDEC19" w:rsidR="00AC2EBE" w:rsidRPr="001B1DFE" w:rsidRDefault="00AC2EBE" w:rsidP="00F15F1C">
      <w:pPr>
        <w:pStyle w:val="FootnoteText"/>
        <w:jc w:val="both"/>
      </w:pPr>
      <w:r w:rsidRPr="001B1DFE">
        <w:rPr>
          <w:rStyle w:val="FootnoteReference"/>
        </w:rPr>
        <w:footnoteRef/>
      </w:r>
      <w:r w:rsidRPr="001B1DFE">
        <w:t xml:space="preserve"> </w:t>
      </w:r>
      <w:r w:rsidR="00F15F1C" w:rsidRPr="00C77E45">
        <w:rPr>
          <w:i/>
          <w:iCs/>
        </w:rPr>
        <w:t>Ibid</w:t>
      </w:r>
      <w:r w:rsidR="00F15F1C" w:rsidRPr="001B1DFE">
        <w:t xml:space="preserve">. See also </w:t>
      </w:r>
      <w:r w:rsidR="00F15F1C" w:rsidRPr="001B1DFE">
        <w:rPr>
          <w:rFonts w:cs="Stone Serif ITC"/>
          <w:color w:val="000000"/>
        </w:rPr>
        <w:t xml:space="preserve">Müller, </w:t>
      </w:r>
      <w:r w:rsidR="00C77E45">
        <w:rPr>
          <w:rFonts w:cs="Stone Serif ITC"/>
          <w:color w:val="000000"/>
        </w:rPr>
        <w:t xml:space="preserve">J.W., </w:t>
      </w:r>
      <w:r w:rsidR="00F15F1C" w:rsidRPr="00C77E45">
        <w:rPr>
          <w:rFonts w:cs="Stone Serif ITC"/>
          <w:i/>
          <w:iCs/>
          <w:color w:val="000000"/>
        </w:rPr>
        <w:t>Individual Militant Democracy</w:t>
      </w:r>
      <w:r w:rsidR="00F15F1C" w:rsidRPr="001B1DFE">
        <w:rPr>
          <w:rFonts w:cs="Stone Serif ITC"/>
          <w:color w:val="000000"/>
        </w:rPr>
        <w:t xml:space="preserve">, </w:t>
      </w:r>
      <w:r w:rsidR="00C77E45">
        <w:rPr>
          <w:rFonts w:cs="Stone Serif ITC"/>
          <w:color w:val="000000"/>
        </w:rPr>
        <w:t xml:space="preserve">in: </w:t>
      </w:r>
      <w:proofErr w:type="spellStart"/>
      <w:r w:rsidR="00F15F1C" w:rsidRPr="001B1DFE">
        <w:t>Malkopoulou</w:t>
      </w:r>
      <w:proofErr w:type="spellEnd"/>
      <w:r w:rsidR="00C77E45">
        <w:t>, A.;</w:t>
      </w:r>
      <w:r w:rsidR="00F15F1C" w:rsidRPr="001B1DFE">
        <w:t xml:space="preserve"> Kirshner,</w:t>
      </w:r>
      <w:r w:rsidR="005C425C">
        <w:t xml:space="preserve"> </w:t>
      </w:r>
      <w:r w:rsidR="00C77E45">
        <w:t>A.,</w:t>
      </w:r>
      <w:r w:rsidR="005C425C">
        <w:t xml:space="preserve"> (eds.), </w:t>
      </w:r>
      <w:r w:rsidR="00F15F1C" w:rsidRPr="00C77E45">
        <w:rPr>
          <w:i/>
          <w:iCs/>
        </w:rPr>
        <w:t>op. cit</w:t>
      </w:r>
      <w:r w:rsidR="00F15F1C" w:rsidRPr="001B1DFE">
        <w:t xml:space="preserve">., </w:t>
      </w:r>
      <w:r w:rsidR="00C77E45">
        <w:t xml:space="preserve">(fn.1), </w:t>
      </w:r>
      <w:r w:rsidR="00F15F1C" w:rsidRPr="001B1DFE">
        <w:t xml:space="preserve">p.15. </w:t>
      </w:r>
    </w:p>
  </w:footnote>
  <w:footnote w:id="81">
    <w:p w14:paraId="3BE00D58" w14:textId="36C458D5" w:rsidR="00AC2EBE" w:rsidRPr="00D5647F" w:rsidRDefault="00AC2EBE" w:rsidP="00F15F1C">
      <w:pPr>
        <w:pStyle w:val="FootnoteText"/>
        <w:jc w:val="both"/>
      </w:pPr>
      <w:r w:rsidRPr="00D5647F">
        <w:rPr>
          <w:rStyle w:val="FootnoteReference"/>
        </w:rPr>
        <w:footnoteRef/>
      </w:r>
      <w:r w:rsidR="00F15F1C" w:rsidRPr="00D5647F">
        <w:rPr>
          <w:rFonts w:eastAsiaTheme="minorHAnsi"/>
          <w:lang w:eastAsia="en-US"/>
        </w:rPr>
        <w:t xml:space="preserve">Issacharoff, </w:t>
      </w:r>
      <w:r w:rsidR="00D5647F" w:rsidRPr="00D5647F">
        <w:rPr>
          <w:rFonts w:eastAsiaTheme="minorHAnsi"/>
          <w:lang w:eastAsia="en-US"/>
        </w:rPr>
        <w:t xml:space="preserve">S., </w:t>
      </w:r>
      <w:r w:rsidR="00D5647F" w:rsidRPr="00D5647F">
        <w:rPr>
          <w:rFonts w:eastAsiaTheme="minorHAnsi"/>
          <w:i/>
          <w:iCs/>
          <w:lang w:eastAsia="en-US"/>
        </w:rPr>
        <w:t>Fragile Democracies</w:t>
      </w:r>
      <w:r w:rsidR="00F15F1C" w:rsidRPr="00D5647F">
        <w:rPr>
          <w:rFonts w:eastAsiaTheme="minorHAnsi"/>
          <w:lang w:eastAsia="en-US"/>
        </w:rPr>
        <w:t xml:space="preserve">, Harvard </w:t>
      </w:r>
      <w:r w:rsidR="00D5647F" w:rsidRPr="00D5647F">
        <w:rPr>
          <w:rFonts w:eastAsiaTheme="minorHAnsi"/>
          <w:lang w:eastAsia="en-US"/>
        </w:rPr>
        <w:t>L</w:t>
      </w:r>
      <w:r w:rsidR="00F15F1C" w:rsidRPr="00D5647F">
        <w:rPr>
          <w:rFonts w:eastAsiaTheme="minorHAnsi"/>
          <w:lang w:eastAsia="en-US"/>
        </w:rPr>
        <w:t xml:space="preserve">aw </w:t>
      </w:r>
      <w:r w:rsidR="00D5647F" w:rsidRPr="00D5647F">
        <w:rPr>
          <w:rFonts w:eastAsiaTheme="minorHAnsi"/>
          <w:lang w:eastAsia="en-US"/>
        </w:rPr>
        <w:t>R</w:t>
      </w:r>
      <w:r w:rsidR="00F15F1C" w:rsidRPr="00D5647F">
        <w:rPr>
          <w:rFonts w:eastAsiaTheme="minorHAnsi"/>
          <w:lang w:eastAsia="en-US"/>
        </w:rPr>
        <w:t>eview,</w:t>
      </w:r>
      <w:r w:rsidR="00D5647F" w:rsidRPr="00D5647F">
        <w:rPr>
          <w:rFonts w:eastAsiaTheme="minorHAnsi"/>
          <w:lang w:eastAsia="en-US"/>
        </w:rPr>
        <w:t>v</w:t>
      </w:r>
      <w:r w:rsidR="00F15F1C" w:rsidRPr="00D5647F">
        <w:rPr>
          <w:rFonts w:eastAsiaTheme="minorHAnsi"/>
          <w:lang w:eastAsia="en-US"/>
        </w:rPr>
        <w:t xml:space="preserve">ol.120, </w:t>
      </w:r>
      <w:r w:rsidR="00D5647F" w:rsidRPr="00D5647F">
        <w:rPr>
          <w:rFonts w:eastAsiaTheme="minorHAnsi"/>
          <w:lang w:eastAsia="en-US"/>
        </w:rPr>
        <w:t>n</w:t>
      </w:r>
      <w:r w:rsidR="00F15F1C" w:rsidRPr="00D5647F">
        <w:rPr>
          <w:rFonts w:eastAsiaTheme="minorHAnsi"/>
          <w:lang w:eastAsia="en-US"/>
        </w:rPr>
        <w:t>o. 6,2007, p</w:t>
      </w:r>
      <w:r w:rsidR="00D5647F">
        <w:rPr>
          <w:rFonts w:eastAsiaTheme="minorHAnsi"/>
          <w:lang w:eastAsia="en-US"/>
        </w:rPr>
        <w:t>.</w:t>
      </w:r>
      <w:r w:rsidR="00F15F1C" w:rsidRPr="00D5647F">
        <w:rPr>
          <w:rFonts w:eastAsiaTheme="minorHAnsi"/>
          <w:lang w:eastAsia="en-US"/>
        </w:rPr>
        <w:t xml:space="preserve">1420. </w:t>
      </w:r>
    </w:p>
  </w:footnote>
  <w:footnote w:id="82">
    <w:p w14:paraId="4FC126C1" w14:textId="4BD2F71E" w:rsidR="00AC2EBE" w:rsidRPr="001B1DFE" w:rsidRDefault="00AC2EBE" w:rsidP="005C425C">
      <w:pPr>
        <w:pStyle w:val="FootnoteText"/>
        <w:jc w:val="both"/>
      </w:pPr>
      <w:r w:rsidRPr="001B1DFE">
        <w:rPr>
          <w:rStyle w:val="FootnoteReference"/>
        </w:rPr>
        <w:footnoteRef/>
      </w:r>
      <w:r w:rsidRPr="001B1DFE">
        <w:t xml:space="preserve"> </w:t>
      </w:r>
      <w:proofErr w:type="spellStart"/>
      <w:r w:rsidR="005256B3" w:rsidRPr="001B1DFE">
        <w:rPr>
          <w:rFonts w:eastAsiaTheme="minorHAnsi"/>
          <w:lang w:eastAsia="en-US"/>
        </w:rPr>
        <w:t>Weiler</w:t>
      </w:r>
      <w:proofErr w:type="spellEnd"/>
      <w:r w:rsidR="005256B3" w:rsidRPr="001B1DFE">
        <w:rPr>
          <w:rFonts w:eastAsiaTheme="minorHAnsi"/>
          <w:lang w:eastAsia="en-US"/>
        </w:rPr>
        <w:t xml:space="preserve">, </w:t>
      </w:r>
      <w:r w:rsidR="005C425C" w:rsidRPr="001B1DFE">
        <w:rPr>
          <w:rFonts w:eastAsiaTheme="minorHAnsi"/>
          <w:lang w:eastAsia="en-US"/>
        </w:rPr>
        <w:t>J.H.H.</w:t>
      </w:r>
      <w:r w:rsidR="005C425C">
        <w:rPr>
          <w:rFonts w:eastAsiaTheme="minorHAnsi"/>
          <w:lang w:eastAsia="en-US"/>
        </w:rPr>
        <w:t xml:space="preserve">, </w:t>
      </w:r>
      <w:r w:rsidR="005256B3" w:rsidRPr="005C425C">
        <w:rPr>
          <w:rFonts w:eastAsiaTheme="minorHAnsi"/>
          <w:i/>
          <w:iCs/>
          <w:lang w:eastAsia="en-US"/>
        </w:rPr>
        <w:t>Epilogue: Living in a Glass House: Europe, Democracy and the Rule of Law</w:t>
      </w:r>
      <w:r w:rsidR="005256B3" w:rsidRPr="001B1DFE">
        <w:rPr>
          <w:rFonts w:eastAsiaTheme="minorHAnsi"/>
          <w:lang w:eastAsia="en-US"/>
        </w:rPr>
        <w:t>, in</w:t>
      </w:r>
      <w:r w:rsidR="005C425C">
        <w:rPr>
          <w:rFonts w:eastAsiaTheme="minorHAnsi"/>
          <w:lang w:eastAsia="en-US"/>
        </w:rPr>
        <w:t>:</w:t>
      </w:r>
      <w:r w:rsidR="005256B3" w:rsidRPr="001B1DFE">
        <w:rPr>
          <w:rFonts w:eastAsiaTheme="minorHAnsi"/>
          <w:lang w:eastAsia="en-US"/>
        </w:rPr>
        <w:t xml:space="preserve"> </w:t>
      </w:r>
      <w:proofErr w:type="spellStart"/>
      <w:r w:rsidR="005256B3" w:rsidRPr="001B1DFE">
        <w:rPr>
          <w:rFonts w:eastAsiaTheme="minorHAnsi"/>
          <w:lang w:eastAsia="en-US"/>
        </w:rPr>
        <w:t>Closa</w:t>
      </w:r>
      <w:proofErr w:type="spellEnd"/>
      <w:r w:rsidR="005C425C">
        <w:rPr>
          <w:rFonts w:eastAsiaTheme="minorHAnsi"/>
          <w:lang w:eastAsia="en-US"/>
        </w:rPr>
        <w:t>, C.;</w:t>
      </w:r>
      <w:r w:rsidR="005256B3" w:rsidRPr="001B1DFE">
        <w:rPr>
          <w:rFonts w:eastAsiaTheme="minorHAnsi"/>
          <w:lang w:eastAsia="en-US"/>
        </w:rPr>
        <w:t xml:space="preserve"> Kochenov</w:t>
      </w:r>
      <w:r w:rsidR="005C425C">
        <w:rPr>
          <w:rFonts w:eastAsiaTheme="minorHAnsi"/>
          <w:lang w:eastAsia="en-US"/>
        </w:rPr>
        <w:t>, D.</w:t>
      </w:r>
      <w:r w:rsidR="005256B3" w:rsidRPr="001B1DFE">
        <w:rPr>
          <w:rFonts w:eastAsiaTheme="minorHAnsi"/>
          <w:lang w:eastAsia="en-US"/>
        </w:rPr>
        <w:t xml:space="preserve"> (eds.), </w:t>
      </w:r>
      <w:r w:rsidR="005256B3" w:rsidRPr="001B1DFE">
        <w:rPr>
          <w:rFonts w:eastAsiaTheme="minorHAnsi"/>
          <w:i/>
          <w:iCs/>
          <w:lang w:eastAsia="en-US"/>
        </w:rPr>
        <w:t>Reinforcing the Rule of Law Oversight in the European Union</w:t>
      </w:r>
      <w:r w:rsidR="005256B3" w:rsidRPr="001B1DFE">
        <w:rPr>
          <w:rFonts w:eastAsiaTheme="minorHAnsi"/>
          <w:lang w:eastAsia="en-US"/>
        </w:rPr>
        <w:t>, C</w:t>
      </w:r>
      <w:r w:rsidR="004A4AD0">
        <w:rPr>
          <w:rFonts w:eastAsiaTheme="minorHAnsi"/>
          <w:lang w:eastAsia="en-US"/>
        </w:rPr>
        <w:t xml:space="preserve">ambridge </w:t>
      </w:r>
      <w:r w:rsidR="005256B3" w:rsidRPr="001B1DFE">
        <w:rPr>
          <w:rFonts w:eastAsiaTheme="minorHAnsi"/>
          <w:lang w:eastAsia="en-US"/>
        </w:rPr>
        <w:t>U</w:t>
      </w:r>
      <w:r w:rsidR="004A4AD0">
        <w:rPr>
          <w:rFonts w:eastAsiaTheme="minorHAnsi"/>
          <w:lang w:eastAsia="en-US"/>
        </w:rPr>
        <w:t xml:space="preserve">niversity </w:t>
      </w:r>
      <w:r w:rsidR="005256B3" w:rsidRPr="001B1DFE">
        <w:rPr>
          <w:rFonts w:eastAsiaTheme="minorHAnsi"/>
          <w:lang w:eastAsia="en-US"/>
        </w:rPr>
        <w:t>P</w:t>
      </w:r>
      <w:r w:rsidR="004A4AD0">
        <w:rPr>
          <w:rFonts w:eastAsiaTheme="minorHAnsi"/>
          <w:lang w:eastAsia="en-US"/>
        </w:rPr>
        <w:t>ress</w:t>
      </w:r>
      <w:r w:rsidR="005256B3" w:rsidRPr="001B1DFE">
        <w:rPr>
          <w:rFonts w:eastAsiaTheme="minorHAnsi"/>
          <w:lang w:eastAsia="en-US"/>
        </w:rPr>
        <w:t xml:space="preserve">, </w:t>
      </w:r>
      <w:r w:rsidR="004A4AD0" w:rsidRPr="001B1DFE">
        <w:rPr>
          <w:rFonts w:eastAsiaTheme="minorHAnsi"/>
          <w:lang w:eastAsia="en-US"/>
        </w:rPr>
        <w:t>Cambridge,</w:t>
      </w:r>
      <w:r w:rsidR="005256B3" w:rsidRPr="001B1DFE">
        <w:rPr>
          <w:rFonts w:eastAsiaTheme="minorHAnsi"/>
          <w:lang w:eastAsia="en-US"/>
        </w:rPr>
        <w:t xml:space="preserve">2016, p.314. </w:t>
      </w:r>
    </w:p>
  </w:footnote>
  <w:footnote w:id="83">
    <w:p w14:paraId="6AA25568" w14:textId="5AD7705D" w:rsidR="00AC2EBE" w:rsidRPr="001B1DFE" w:rsidRDefault="00AC2EBE">
      <w:pPr>
        <w:pStyle w:val="FootnoteText"/>
      </w:pPr>
      <w:r w:rsidRPr="001B1DFE">
        <w:rPr>
          <w:rStyle w:val="FootnoteReference"/>
        </w:rPr>
        <w:footnoteRef/>
      </w:r>
      <w:r w:rsidRPr="001B1DFE">
        <w:t xml:space="preserve"> </w:t>
      </w:r>
      <w:r w:rsidR="005256B3" w:rsidRPr="001B1DFE">
        <w:rPr>
          <w:rFonts w:cs="Stone Serif ITC"/>
          <w:color w:val="000000"/>
        </w:rPr>
        <w:t xml:space="preserve">Müller, </w:t>
      </w:r>
      <w:r w:rsidR="009D1D4E">
        <w:rPr>
          <w:rFonts w:cs="Stone Serif ITC"/>
          <w:color w:val="000000"/>
        </w:rPr>
        <w:t xml:space="preserve">J.W., </w:t>
      </w:r>
      <w:r w:rsidR="009D1D4E" w:rsidRPr="009D1D4E">
        <w:rPr>
          <w:rFonts w:cs="Stone Serif ITC"/>
          <w:i/>
          <w:iCs/>
          <w:color w:val="000000"/>
        </w:rPr>
        <w:t>op. cit</w:t>
      </w:r>
      <w:r w:rsidR="009D1D4E">
        <w:rPr>
          <w:rFonts w:cs="Stone Serif ITC"/>
          <w:color w:val="000000"/>
        </w:rPr>
        <w:t>. (fn.7</w:t>
      </w:r>
      <w:r w:rsidR="00391536">
        <w:rPr>
          <w:rFonts w:cs="Stone Serif ITC"/>
          <w:color w:val="000000"/>
        </w:rPr>
        <w:t>9</w:t>
      </w:r>
      <w:r w:rsidR="009D1D4E">
        <w:rPr>
          <w:rFonts w:cs="Stone Serif ITC"/>
          <w:color w:val="000000"/>
        </w:rPr>
        <w:t xml:space="preserve">), </w:t>
      </w:r>
      <w:r w:rsidR="005256B3" w:rsidRPr="001B1DFE">
        <w:rPr>
          <w:rFonts w:cs="Stone Serif ITC"/>
          <w:color w:val="000000"/>
        </w:rPr>
        <w:t xml:space="preserve">p.17. </w:t>
      </w:r>
    </w:p>
  </w:footnote>
  <w:footnote w:id="84">
    <w:p w14:paraId="4055B9F3" w14:textId="4E2803A9" w:rsidR="00AC2EBE" w:rsidRPr="001B1DFE" w:rsidRDefault="00AC2EBE">
      <w:pPr>
        <w:pStyle w:val="FootnoteText"/>
      </w:pPr>
      <w:r w:rsidRPr="001B1DFE">
        <w:rPr>
          <w:rStyle w:val="FootnoteReference"/>
        </w:rPr>
        <w:footnoteRef/>
      </w:r>
      <w:r w:rsidRPr="001B1DFE">
        <w:t xml:space="preserve"> </w:t>
      </w:r>
      <w:r w:rsidR="005256B3" w:rsidRPr="009D1D4E">
        <w:rPr>
          <w:i/>
          <w:iCs/>
        </w:rPr>
        <w:t>Ibid</w:t>
      </w:r>
      <w:r w:rsidR="005256B3" w:rsidRPr="001B1DFE">
        <w:t xml:space="preserve">. </w:t>
      </w:r>
    </w:p>
  </w:footnote>
  <w:footnote w:id="85">
    <w:p w14:paraId="6BCD06CA" w14:textId="3B3D08FA" w:rsidR="00AC2EBE" w:rsidRPr="001B1DFE" w:rsidRDefault="00AC2EBE">
      <w:pPr>
        <w:pStyle w:val="FootnoteText"/>
      </w:pPr>
      <w:r w:rsidRPr="001B1DFE">
        <w:rPr>
          <w:rStyle w:val="FootnoteReference"/>
        </w:rPr>
        <w:footnoteRef/>
      </w:r>
      <w:r w:rsidRPr="001B1DFE">
        <w:t xml:space="preserve"> </w:t>
      </w:r>
      <w:r w:rsidR="00643890" w:rsidRPr="00F5283B">
        <w:rPr>
          <w:rFonts w:eastAsiaTheme="minorHAnsi"/>
          <w:lang w:eastAsia="en-US"/>
        </w:rPr>
        <w:t xml:space="preserve">Sunstein, </w:t>
      </w:r>
      <w:r w:rsidR="00F5283B">
        <w:rPr>
          <w:rFonts w:eastAsiaTheme="minorHAnsi"/>
          <w:lang w:eastAsia="en-US"/>
        </w:rPr>
        <w:t xml:space="preserve">C., </w:t>
      </w:r>
      <w:r w:rsidR="00643890" w:rsidRPr="00F5283B">
        <w:rPr>
          <w:rFonts w:eastAsiaTheme="minorHAnsi"/>
          <w:i/>
          <w:iCs/>
          <w:lang w:eastAsia="en-US"/>
        </w:rPr>
        <w:t>Designing Democracy: What Constitutions Do</w:t>
      </w:r>
      <w:r w:rsidR="00F5283B">
        <w:rPr>
          <w:rFonts w:eastAsiaTheme="minorHAnsi"/>
          <w:lang w:eastAsia="en-US"/>
        </w:rPr>
        <w:t>,</w:t>
      </w:r>
      <w:r w:rsidR="00643890" w:rsidRPr="00F5283B">
        <w:rPr>
          <w:rFonts w:eastAsiaTheme="minorHAnsi"/>
          <w:lang w:eastAsia="en-US"/>
        </w:rPr>
        <w:t xml:space="preserve"> O</w:t>
      </w:r>
      <w:r w:rsidR="00F5283B">
        <w:rPr>
          <w:rFonts w:eastAsiaTheme="minorHAnsi"/>
          <w:lang w:eastAsia="en-US"/>
        </w:rPr>
        <w:t xml:space="preserve">xford </w:t>
      </w:r>
      <w:r w:rsidR="00643890" w:rsidRPr="00F5283B">
        <w:rPr>
          <w:rFonts w:eastAsiaTheme="minorHAnsi"/>
          <w:lang w:eastAsia="en-US"/>
        </w:rPr>
        <w:t>U</w:t>
      </w:r>
      <w:r w:rsidR="00F5283B">
        <w:rPr>
          <w:rFonts w:eastAsiaTheme="minorHAnsi"/>
          <w:lang w:eastAsia="en-US"/>
        </w:rPr>
        <w:t xml:space="preserve">niversity </w:t>
      </w:r>
      <w:r w:rsidR="00643890" w:rsidRPr="00F5283B">
        <w:rPr>
          <w:rFonts w:eastAsiaTheme="minorHAnsi"/>
          <w:lang w:eastAsia="en-US"/>
        </w:rPr>
        <w:t>P</w:t>
      </w:r>
      <w:r w:rsidR="00F5283B">
        <w:rPr>
          <w:rFonts w:eastAsiaTheme="minorHAnsi"/>
          <w:lang w:eastAsia="en-US"/>
        </w:rPr>
        <w:t>ress</w:t>
      </w:r>
      <w:r w:rsidR="00643890" w:rsidRPr="00F5283B">
        <w:rPr>
          <w:rFonts w:eastAsiaTheme="minorHAnsi"/>
          <w:lang w:eastAsia="en-US"/>
        </w:rPr>
        <w:t>, Oxford, 2001, p.97.</w:t>
      </w:r>
    </w:p>
  </w:footnote>
  <w:footnote w:id="86">
    <w:p w14:paraId="7C6C765B" w14:textId="547572AA" w:rsidR="00AC2EBE" w:rsidRPr="001B1DFE" w:rsidRDefault="00AC2EBE" w:rsidP="003B4B96">
      <w:pPr>
        <w:keepLines/>
        <w:autoSpaceDE w:val="0"/>
        <w:autoSpaceDN w:val="0"/>
        <w:adjustRightInd w:val="0"/>
        <w:jc w:val="both"/>
        <w:rPr>
          <w:rFonts w:eastAsiaTheme="minorHAnsi"/>
          <w:sz w:val="20"/>
          <w:szCs w:val="20"/>
          <w:lang w:val="en-US" w:eastAsia="en-US"/>
        </w:rPr>
      </w:pPr>
      <w:r w:rsidRPr="001B1DFE">
        <w:rPr>
          <w:rStyle w:val="FootnoteReference"/>
          <w:sz w:val="20"/>
          <w:szCs w:val="20"/>
          <w:lang w:val="en-US"/>
        </w:rPr>
        <w:footnoteRef/>
      </w:r>
      <w:r w:rsidRPr="001B1DFE">
        <w:rPr>
          <w:sz w:val="20"/>
          <w:szCs w:val="20"/>
          <w:lang w:val="en-US"/>
        </w:rPr>
        <w:t xml:space="preserve"> </w:t>
      </w:r>
      <w:proofErr w:type="spellStart"/>
      <w:r w:rsidR="006E7915" w:rsidRPr="001B1DFE">
        <w:rPr>
          <w:color w:val="000000"/>
          <w:spacing w:val="-5"/>
          <w:sz w:val="20"/>
          <w:szCs w:val="20"/>
          <w:shd w:val="clear" w:color="auto" w:fill="FFFFFF"/>
          <w:lang w:val="en-US"/>
        </w:rPr>
        <w:t>Sajó</w:t>
      </w:r>
      <w:proofErr w:type="spellEnd"/>
      <w:r w:rsidR="006E7915" w:rsidRPr="001B1DFE">
        <w:rPr>
          <w:color w:val="000000"/>
          <w:spacing w:val="-5"/>
          <w:sz w:val="20"/>
          <w:szCs w:val="20"/>
          <w:shd w:val="clear" w:color="auto" w:fill="FFFFFF"/>
          <w:lang w:val="en-US"/>
        </w:rPr>
        <w:t xml:space="preserve">, </w:t>
      </w:r>
      <w:r w:rsidR="003B4B96">
        <w:rPr>
          <w:color w:val="000000"/>
          <w:spacing w:val="-5"/>
          <w:sz w:val="20"/>
          <w:szCs w:val="20"/>
          <w:shd w:val="clear" w:color="auto" w:fill="FFFFFF"/>
          <w:lang w:val="en-US"/>
        </w:rPr>
        <w:t xml:space="preserve">A., </w:t>
      </w:r>
      <w:r w:rsidR="006E7915" w:rsidRPr="003B4B96">
        <w:rPr>
          <w:i/>
          <w:iCs/>
          <w:color w:val="0E101A"/>
          <w:sz w:val="20"/>
          <w:szCs w:val="20"/>
          <w:lang w:val="en-US"/>
        </w:rPr>
        <w:t>Militant Constitutionalism</w:t>
      </w:r>
      <w:r w:rsidR="006E7915" w:rsidRPr="001B1DFE">
        <w:rPr>
          <w:color w:val="0E101A"/>
          <w:sz w:val="20"/>
          <w:szCs w:val="20"/>
          <w:lang w:val="en-US"/>
        </w:rPr>
        <w:t>, in</w:t>
      </w:r>
      <w:r w:rsidR="003B4B96">
        <w:rPr>
          <w:color w:val="0E101A"/>
          <w:sz w:val="20"/>
          <w:szCs w:val="20"/>
          <w:lang w:val="en-US"/>
        </w:rPr>
        <w:t>:</w:t>
      </w:r>
      <w:r w:rsidR="003B4B96" w:rsidRPr="003B4B96">
        <w:t xml:space="preserve"> </w:t>
      </w:r>
      <w:r w:rsidR="003B4B96" w:rsidRPr="003B4B96">
        <w:rPr>
          <w:sz w:val="20"/>
          <w:szCs w:val="20"/>
        </w:rPr>
        <w:t xml:space="preserve">Malkopoulou, A.; Kirshner, A., (eds.), </w:t>
      </w:r>
      <w:r w:rsidR="003B4B96" w:rsidRPr="003B4B96">
        <w:rPr>
          <w:i/>
          <w:iCs/>
          <w:sz w:val="20"/>
          <w:szCs w:val="20"/>
        </w:rPr>
        <w:t>op. cit</w:t>
      </w:r>
      <w:r w:rsidR="003B4B96" w:rsidRPr="003B4B96">
        <w:rPr>
          <w:sz w:val="20"/>
          <w:szCs w:val="20"/>
        </w:rPr>
        <w:t xml:space="preserve">., (fn.1), </w:t>
      </w:r>
      <w:r w:rsidR="006E7915" w:rsidRPr="003B4B96">
        <w:rPr>
          <w:sz w:val="20"/>
          <w:szCs w:val="20"/>
          <w:lang w:val="en-US"/>
        </w:rPr>
        <w:t xml:space="preserve">pp.187-206; </w:t>
      </w:r>
      <w:proofErr w:type="spellStart"/>
      <w:r w:rsidR="006E7915" w:rsidRPr="003B4B96">
        <w:rPr>
          <w:rFonts w:eastAsiaTheme="minorHAnsi"/>
          <w:sz w:val="20"/>
          <w:szCs w:val="20"/>
          <w:lang w:val="en-US" w:eastAsia="en-US"/>
        </w:rPr>
        <w:t>Jerg</w:t>
      </w:r>
      <w:proofErr w:type="spellEnd"/>
      <w:r w:rsidR="006E7915" w:rsidRPr="003B4B96">
        <w:rPr>
          <w:rFonts w:eastAsiaTheme="minorHAnsi"/>
          <w:sz w:val="20"/>
          <w:szCs w:val="20"/>
          <w:lang w:val="en-US" w:eastAsia="en-US"/>
        </w:rPr>
        <w:t xml:space="preserve"> Gutmann</w:t>
      </w:r>
      <w:r w:rsidR="003B4B96">
        <w:rPr>
          <w:rFonts w:eastAsiaTheme="minorHAnsi"/>
          <w:sz w:val="20"/>
          <w:szCs w:val="20"/>
          <w:lang w:val="en-US" w:eastAsia="en-US"/>
        </w:rPr>
        <w:t xml:space="preserve">, J.; </w:t>
      </w:r>
      <w:r w:rsidR="006E7915" w:rsidRPr="003B4B96">
        <w:rPr>
          <w:rFonts w:eastAsiaTheme="minorHAnsi"/>
          <w:sz w:val="20"/>
          <w:szCs w:val="20"/>
          <w:lang w:val="en-US" w:eastAsia="en-US"/>
        </w:rPr>
        <w:t>Voigt,</w:t>
      </w:r>
      <w:r w:rsidR="003B4B96">
        <w:rPr>
          <w:rFonts w:eastAsiaTheme="minorHAnsi"/>
          <w:sz w:val="20"/>
          <w:szCs w:val="20"/>
          <w:lang w:val="en-US" w:eastAsia="en-US"/>
        </w:rPr>
        <w:t xml:space="preserve">  S.,</w:t>
      </w:r>
      <w:r w:rsidR="006E7915" w:rsidRPr="003B4B96">
        <w:rPr>
          <w:rFonts w:eastAsiaTheme="minorHAnsi"/>
          <w:sz w:val="20"/>
          <w:szCs w:val="20"/>
          <w:lang w:val="en-US" w:eastAsia="en-US"/>
        </w:rPr>
        <w:t xml:space="preserve"> </w:t>
      </w:r>
      <w:r w:rsidR="006E7915" w:rsidRPr="003B4B96">
        <w:rPr>
          <w:rFonts w:eastAsiaTheme="minorHAnsi"/>
          <w:i/>
          <w:iCs/>
          <w:sz w:val="20"/>
          <w:szCs w:val="20"/>
          <w:lang w:val="en-US" w:eastAsia="en-US"/>
        </w:rPr>
        <w:t xml:space="preserve">Militant </w:t>
      </w:r>
      <w:r w:rsidR="003B4B96">
        <w:rPr>
          <w:rFonts w:eastAsiaTheme="minorHAnsi"/>
          <w:i/>
          <w:iCs/>
          <w:sz w:val="20"/>
          <w:szCs w:val="20"/>
          <w:lang w:val="en-US" w:eastAsia="en-US"/>
        </w:rPr>
        <w:t>C</w:t>
      </w:r>
      <w:r w:rsidR="006E7915" w:rsidRPr="003B4B96">
        <w:rPr>
          <w:rFonts w:eastAsiaTheme="minorHAnsi"/>
          <w:i/>
          <w:iCs/>
          <w:sz w:val="20"/>
          <w:szCs w:val="20"/>
          <w:lang w:val="en-US" w:eastAsia="en-US"/>
        </w:rPr>
        <w:t xml:space="preserve">onstitutionalism: </w:t>
      </w:r>
      <w:r w:rsidR="003B4B96">
        <w:rPr>
          <w:rFonts w:eastAsiaTheme="minorHAnsi"/>
          <w:i/>
          <w:iCs/>
          <w:sz w:val="20"/>
          <w:szCs w:val="20"/>
          <w:lang w:val="en-US" w:eastAsia="en-US"/>
        </w:rPr>
        <w:t>A</w:t>
      </w:r>
      <w:r w:rsidR="006E7915" w:rsidRPr="003B4B96">
        <w:rPr>
          <w:rFonts w:eastAsiaTheme="minorHAnsi"/>
          <w:i/>
          <w:iCs/>
          <w:sz w:val="20"/>
          <w:szCs w:val="20"/>
          <w:lang w:val="en-US" w:eastAsia="en-US"/>
        </w:rPr>
        <w:t xml:space="preserve"> </w:t>
      </w:r>
      <w:r w:rsidR="003B4B96">
        <w:rPr>
          <w:rFonts w:eastAsiaTheme="minorHAnsi"/>
          <w:i/>
          <w:iCs/>
          <w:sz w:val="20"/>
          <w:szCs w:val="20"/>
          <w:lang w:val="en-US" w:eastAsia="en-US"/>
        </w:rPr>
        <w:t>P</w:t>
      </w:r>
      <w:r w:rsidR="006E7915" w:rsidRPr="003B4B96">
        <w:rPr>
          <w:rFonts w:eastAsiaTheme="minorHAnsi"/>
          <w:i/>
          <w:iCs/>
          <w:sz w:val="20"/>
          <w:szCs w:val="20"/>
          <w:lang w:val="en-US" w:eastAsia="en-US"/>
        </w:rPr>
        <w:t xml:space="preserve">romising </w:t>
      </w:r>
      <w:r w:rsidR="003B4B96">
        <w:rPr>
          <w:rFonts w:eastAsiaTheme="minorHAnsi"/>
          <w:i/>
          <w:iCs/>
          <w:sz w:val="20"/>
          <w:szCs w:val="20"/>
          <w:lang w:val="en-US" w:eastAsia="en-US"/>
        </w:rPr>
        <w:t>C</w:t>
      </w:r>
      <w:r w:rsidR="006E7915" w:rsidRPr="003B4B96">
        <w:rPr>
          <w:rFonts w:eastAsiaTheme="minorHAnsi"/>
          <w:i/>
          <w:iCs/>
          <w:sz w:val="20"/>
          <w:szCs w:val="20"/>
          <w:lang w:val="en-US" w:eastAsia="en-US"/>
        </w:rPr>
        <w:t xml:space="preserve">oncept to </w:t>
      </w:r>
      <w:r w:rsidR="003B4B96">
        <w:rPr>
          <w:rFonts w:eastAsiaTheme="minorHAnsi"/>
          <w:i/>
          <w:iCs/>
          <w:sz w:val="20"/>
          <w:szCs w:val="20"/>
          <w:lang w:val="en-US" w:eastAsia="en-US"/>
        </w:rPr>
        <w:t>M</w:t>
      </w:r>
      <w:r w:rsidR="006E7915" w:rsidRPr="003B4B96">
        <w:rPr>
          <w:rFonts w:eastAsiaTheme="minorHAnsi"/>
          <w:i/>
          <w:iCs/>
          <w:sz w:val="20"/>
          <w:szCs w:val="20"/>
          <w:lang w:val="en-US" w:eastAsia="en-US"/>
        </w:rPr>
        <w:t xml:space="preserve">ake </w:t>
      </w:r>
      <w:r w:rsidR="003B4B96">
        <w:rPr>
          <w:rFonts w:eastAsiaTheme="minorHAnsi"/>
          <w:i/>
          <w:iCs/>
          <w:sz w:val="20"/>
          <w:szCs w:val="20"/>
          <w:lang w:val="en-US" w:eastAsia="en-US"/>
        </w:rPr>
        <w:t>C</w:t>
      </w:r>
      <w:r w:rsidR="006E7915" w:rsidRPr="003B4B96">
        <w:rPr>
          <w:rFonts w:eastAsiaTheme="minorHAnsi"/>
          <w:i/>
          <w:iCs/>
          <w:sz w:val="20"/>
          <w:szCs w:val="20"/>
          <w:lang w:val="en-US" w:eastAsia="en-US"/>
        </w:rPr>
        <w:t xml:space="preserve">onstitutional </w:t>
      </w:r>
      <w:r w:rsidR="003B4B96">
        <w:rPr>
          <w:rFonts w:eastAsiaTheme="minorHAnsi"/>
          <w:i/>
          <w:iCs/>
          <w:sz w:val="20"/>
          <w:szCs w:val="20"/>
          <w:lang w:val="en-US" w:eastAsia="en-US"/>
        </w:rPr>
        <w:t>B</w:t>
      </w:r>
      <w:r w:rsidR="006E7915" w:rsidRPr="003B4B96">
        <w:rPr>
          <w:rFonts w:eastAsiaTheme="minorHAnsi"/>
          <w:i/>
          <w:iCs/>
          <w:sz w:val="20"/>
          <w:szCs w:val="20"/>
          <w:lang w:val="en-US" w:eastAsia="en-US"/>
        </w:rPr>
        <w:t xml:space="preserve">acksliding </w:t>
      </w:r>
      <w:r w:rsidR="003B4B96">
        <w:rPr>
          <w:rFonts w:eastAsiaTheme="minorHAnsi"/>
          <w:i/>
          <w:iCs/>
          <w:sz w:val="20"/>
          <w:szCs w:val="20"/>
          <w:lang w:val="en-US" w:eastAsia="en-US"/>
        </w:rPr>
        <w:t>L</w:t>
      </w:r>
      <w:r w:rsidR="006E7915" w:rsidRPr="003B4B96">
        <w:rPr>
          <w:rFonts w:eastAsiaTheme="minorHAnsi"/>
          <w:i/>
          <w:iCs/>
          <w:sz w:val="20"/>
          <w:szCs w:val="20"/>
          <w:lang w:val="en-US" w:eastAsia="en-US"/>
        </w:rPr>
        <w:t xml:space="preserve">ess </w:t>
      </w:r>
      <w:r w:rsidR="003B4B96">
        <w:rPr>
          <w:rFonts w:eastAsiaTheme="minorHAnsi"/>
          <w:i/>
          <w:iCs/>
          <w:sz w:val="20"/>
          <w:szCs w:val="20"/>
          <w:lang w:val="en-US" w:eastAsia="en-US"/>
        </w:rPr>
        <w:t>L</w:t>
      </w:r>
      <w:r w:rsidR="006E7915" w:rsidRPr="003B4B96">
        <w:rPr>
          <w:rFonts w:eastAsiaTheme="minorHAnsi"/>
          <w:i/>
          <w:iCs/>
          <w:sz w:val="20"/>
          <w:szCs w:val="20"/>
          <w:lang w:val="en-US" w:eastAsia="en-US"/>
        </w:rPr>
        <w:t>ikely?</w:t>
      </w:r>
      <w:r w:rsidR="006E7915" w:rsidRPr="003B4B96">
        <w:rPr>
          <w:rFonts w:eastAsiaTheme="minorHAnsi"/>
          <w:sz w:val="20"/>
          <w:szCs w:val="20"/>
          <w:lang w:val="en-US" w:eastAsia="en-US"/>
        </w:rPr>
        <w:t xml:space="preserve">, </w:t>
      </w:r>
      <w:r w:rsidR="00DB1D6C" w:rsidRPr="003B4B96">
        <w:rPr>
          <w:rFonts w:eastAsiaTheme="minorHAnsi"/>
          <w:sz w:val="20"/>
          <w:szCs w:val="20"/>
          <w:lang w:val="en-US" w:eastAsia="en-US"/>
        </w:rPr>
        <w:t>Public Choice, 2021, https://link.springer.com/article/10.1007/s11127-021-00874-</w:t>
      </w:r>
      <w:r w:rsidR="00DB1D6C" w:rsidRPr="001B1DFE">
        <w:rPr>
          <w:rFonts w:eastAsiaTheme="minorHAnsi"/>
          <w:sz w:val="20"/>
          <w:szCs w:val="20"/>
          <w:lang w:val="en-US" w:eastAsia="en-US"/>
        </w:rPr>
        <w:t>1#article-info</w:t>
      </w:r>
      <w:r w:rsidR="003B4B96">
        <w:rPr>
          <w:rFonts w:eastAsiaTheme="minorHAnsi"/>
          <w:sz w:val="20"/>
          <w:szCs w:val="20"/>
          <w:lang w:val="en-US" w:eastAsia="en-US"/>
        </w:rPr>
        <w:t xml:space="preserve"> </w:t>
      </w:r>
      <w:r w:rsidR="003B4B96" w:rsidRPr="003B4B96">
        <w:rPr>
          <w:sz w:val="20"/>
          <w:szCs w:val="20"/>
        </w:rPr>
        <w:t>(28 June 2021)</w:t>
      </w:r>
      <w:r w:rsidR="003B4B96">
        <w:t xml:space="preserve"> </w:t>
      </w:r>
      <w:r w:rsidR="003B4B96">
        <w:rPr>
          <w:rFonts w:eastAsiaTheme="minorHAnsi"/>
          <w:sz w:val="20"/>
          <w:szCs w:val="20"/>
          <w:lang w:val="en-US" w:eastAsia="en-US"/>
        </w:rPr>
        <w:t xml:space="preserve"> </w:t>
      </w:r>
    </w:p>
  </w:footnote>
  <w:footnote w:id="87">
    <w:p w14:paraId="728457D0" w14:textId="00A5F304" w:rsidR="00AC2EBE" w:rsidRPr="001B1DFE" w:rsidRDefault="00AC2EBE">
      <w:pPr>
        <w:pStyle w:val="FootnoteText"/>
      </w:pPr>
      <w:r w:rsidRPr="001B1DFE">
        <w:rPr>
          <w:rStyle w:val="FootnoteReference"/>
        </w:rPr>
        <w:footnoteRef/>
      </w:r>
      <w:r w:rsidRPr="001B1DFE">
        <w:t xml:space="preserve"> </w:t>
      </w:r>
      <w:proofErr w:type="spellStart"/>
      <w:r w:rsidR="00DB1D6C" w:rsidRPr="001B1DFE">
        <w:rPr>
          <w:color w:val="000000"/>
          <w:spacing w:val="-5"/>
          <w:shd w:val="clear" w:color="auto" w:fill="FFFFFF"/>
        </w:rPr>
        <w:t>Sajó</w:t>
      </w:r>
      <w:proofErr w:type="spellEnd"/>
      <w:r w:rsidR="00DB1D6C" w:rsidRPr="001B1DFE">
        <w:rPr>
          <w:color w:val="000000"/>
          <w:spacing w:val="-5"/>
          <w:shd w:val="clear" w:color="auto" w:fill="FFFFFF"/>
        </w:rPr>
        <w:t xml:space="preserve">, </w:t>
      </w:r>
      <w:r w:rsidR="00C22176">
        <w:rPr>
          <w:color w:val="000000"/>
          <w:spacing w:val="-5"/>
          <w:shd w:val="clear" w:color="auto" w:fill="FFFFFF"/>
        </w:rPr>
        <w:t xml:space="preserve">A., </w:t>
      </w:r>
      <w:proofErr w:type="spellStart"/>
      <w:r w:rsidR="00C22176">
        <w:rPr>
          <w:color w:val="0E101A"/>
        </w:rPr>
        <w:t>op.cit</w:t>
      </w:r>
      <w:proofErr w:type="spellEnd"/>
      <w:r w:rsidR="00C22176">
        <w:rPr>
          <w:color w:val="0E101A"/>
        </w:rPr>
        <w:t>. (fn.8</w:t>
      </w:r>
      <w:r w:rsidR="00391536">
        <w:rPr>
          <w:color w:val="0E101A"/>
        </w:rPr>
        <w:t>5</w:t>
      </w:r>
      <w:r w:rsidR="00C22176">
        <w:rPr>
          <w:color w:val="0E101A"/>
        </w:rPr>
        <w:t xml:space="preserve">), </w:t>
      </w:r>
      <w:r w:rsidR="00DB1D6C" w:rsidRPr="001B1DFE">
        <w:rPr>
          <w:color w:val="0E101A"/>
        </w:rPr>
        <w:t>pp.</w:t>
      </w:r>
      <w:r w:rsidR="000A5E16" w:rsidRPr="001B1DFE">
        <w:rPr>
          <w:color w:val="0E101A"/>
        </w:rPr>
        <w:t>198-201.</w:t>
      </w:r>
    </w:p>
  </w:footnote>
  <w:footnote w:id="88">
    <w:p w14:paraId="4C99C93F" w14:textId="52AA1EA8" w:rsidR="00AC2EBE" w:rsidRPr="001B1DFE" w:rsidRDefault="00AC2EBE" w:rsidP="00737092">
      <w:pPr>
        <w:rPr>
          <w:sz w:val="20"/>
          <w:szCs w:val="20"/>
          <w:lang w:val="en-US"/>
        </w:rPr>
      </w:pPr>
      <w:r w:rsidRPr="001B1DFE">
        <w:rPr>
          <w:rStyle w:val="FootnoteReference"/>
          <w:lang w:val="en-US"/>
        </w:rPr>
        <w:footnoteRef/>
      </w:r>
      <w:r w:rsidRPr="001B1DFE">
        <w:rPr>
          <w:lang w:val="en-US"/>
        </w:rPr>
        <w:t xml:space="preserve"> </w:t>
      </w:r>
      <w:r w:rsidR="00737092" w:rsidRPr="001B1DFE">
        <w:rPr>
          <w:sz w:val="20"/>
          <w:szCs w:val="20"/>
          <w:lang w:val="en-US"/>
        </w:rPr>
        <w:t xml:space="preserve">See </w:t>
      </w:r>
      <w:proofErr w:type="spellStart"/>
      <w:r w:rsidR="00737092" w:rsidRPr="001B1DFE">
        <w:rPr>
          <w:rStyle w:val="Emphasis"/>
          <w:sz w:val="20"/>
          <w:szCs w:val="20"/>
          <w:shd w:val="clear" w:color="auto" w:fill="FFFFFF"/>
          <w:lang w:val="en-US"/>
        </w:rPr>
        <w:t>Vona</w:t>
      </w:r>
      <w:proofErr w:type="spellEnd"/>
      <w:r w:rsidR="00737092" w:rsidRPr="001B1DFE">
        <w:rPr>
          <w:sz w:val="20"/>
          <w:szCs w:val="20"/>
          <w:shd w:val="clear" w:color="auto" w:fill="FFFFFF"/>
          <w:lang w:val="en-US"/>
        </w:rPr>
        <w:t> </w:t>
      </w:r>
      <w:r w:rsidR="00737092" w:rsidRPr="001B1DFE">
        <w:rPr>
          <w:rStyle w:val="Emphasis"/>
          <w:sz w:val="20"/>
          <w:szCs w:val="20"/>
          <w:shd w:val="clear" w:color="auto" w:fill="FFFFFF"/>
          <w:lang w:val="en-US"/>
        </w:rPr>
        <w:t>v</w:t>
      </w:r>
      <w:r w:rsidR="00737092" w:rsidRPr="001B1DFE">
        <w:rPr>
          <w:sz w:val="20"/>
          <w:szCs w:val="20"/>
          <w:shd w:val="clear" w:color="auto" w:fill="FFFFFF"/>
          <w:lang w:val="en-US"/>
        </w:rPr>
        <w:t>. </w:t>
      </w:r>
      <w:r w:rsidR="00737092" w:rsidRPr="001B1DFE">
        <w:rPr>
          <w:rStyle w:val="Emphasis"/>
          <w:sz w:val="20"/>
          <w:szCs w:val="20"/>
          <w:shd w:val="clear" w:color="auto" w:fill="FFFFFF"/>
          <w:lang w:val="en-US"/>
        </w:rPr>
        <w:t>Hungary</w:t>
      </w:r>
      <w:r w:rsidR="00737092" w:rsidRPr="001B1DFE">
        <w:rPr>
          <w:sz w:val="20"/>
          <w:szCs w:val="20"/>
          <w:shd w:val="clear" w:color="auto" w:fill="FFFFFF"/>
          <w:lang w:val="en-US"/>
        </w:rPr>
        <w:t>, App. No. 35943/10, Judgment of 9 July 2013. </w:t>
      </w:r>
    </w:p>
  </w:footnote>
  <w:footnote w:id="89">
    <w:p w14:paraId="00CAD376" w14:textId="6366EB5F" w:rsidR="00AC2EBE" w:rsidRPr="001B1DFE" w:rsidRDefault="00AC2EBE">
      <w:pPr>
        <w:pStyle w:val="FootnoteText"/>
      </w:pPr>
      <w:r w:rsidRPr="001B1DFE">
        <w:rPr>
          <w:rStyle w:val="FootnoteReference"/>
        </w:rPr>
        <w:footnoteRef/>
      </w:r>
      <w:r w:rsidRPr="001B1DFE">
        <w:t xml:space="preserve"> </w:t>
      </w:r>
      <w:r w:rsidR="00737092" w:rsidRPr="00257630">
        <w:rPr>
          <w:i/>
          <w:iCs/>
        </w:rPr>
        <w:t>Ibid</w:t>
      </w:r>
      <w:r w:rsidR="00737092" w:rsidRPr="001B1DFE">
        <w:t>., para.69.</w:t>
      </w:r>
    </w:p>
  </w:footnote>
  <w:footnote w:id="90">
    <w:p w14:paraId="3154EC24" w14:textId="5665E526" w:rsidR="00737092" w:rsidRPr="001B1DFE" w:rsidRDefault="00737092">
      <w:pPr>
        <w:pStyle w:val="FootnoteText"/>
      </w:pPr>
      <w:r w:rsidRPr="001B1DFE">
        <w:rPr>
          <w:rStyle w:val="FootnoteReference"/>
        </w:rPr>
        <w:footnoteRef/>
      </w:r>
      <w:r w:rsidRPr="00257630">
        <w:rPr>
          <w:i/>
          <w:iCs/>
        </w:rPr>
        <w:t xml:space="preserve"> Ibid</w:t>
      </w:r>
      <w:r w:rsidRPr="001B1DFE">
        <w:t>., para.71</w:t>
      </w:r>
      <w:r w:rsidR="00257630">
        <w:t>.</w:t>
      </w:r>
    </w:p>
  </w:footnote>
  <w:footnote w:id="91">
    <w:p w14:paraId="3B7A1512" w14:textId="61D851CC" w:rsidR="00AC2EBE" w:rsidRPr="00D04940" w:rsidRDefault="00AC2EBE" w:rsidP="00D04940">
      <w:pPr>
        <w:pStyle w:val="FootnoteText"/>
        <w:jc w:val="both"/>
      </w:pPr>
      <w:r w:rsidRPr="00D04940">
        <w:rPr>
          <w:rStyle w:val="FootnoteReference"/>
        </w:rPr>
        <w:footnoteRef/>
      </w:r>
      <w:r w:rsidRPr="00D04940">
        <w:t xml:space="preserve"> </w:t>
      </w:r>
      <w:r w:rsidR="00737092" w:rsidRPr="00D04940">
        <w:rPr>
          <w:i/>
          <w:iCs/>
        </w:rPr>
        <w:t>Ibid</w:t>
      </w:r>
      <w:r w:rsidR="00737092" w:rsidRPr="00D04940">
        <w:t xml:space="preserve">. </w:t>
      </w:r>
    </w:p>
  </w:footnote>
  <w:footnote w:id="92">
    <w:p w14:paraId="0A84C505" w14:textId="18726265" w:rsidR="00D04940" w:rsidRPr="00D04940" w:rsidRDefault="00D04940" w:rsidP="00D04940">
      <w:pPr>
        <w:jc w:val="both"/>
        <w:rPr>
          <w:sz w:val="20"/>
          <w:szCs w:val="20"/>
          <w:lang w:val="en-US"/>
        </w:rPr>
      </w:pPr>
      <w:r w:rsidRPr="00D04940">
        <w:rPr>
          <w:rStyle w:val="FootnoteReference"/>
          <w:sz w:val="20"/>
          <w:szCs w:val="20"/>
          <w:lang w:val="en-US"/>
        </w:rPr>
        <w:footnoteRef/>
      </w:r>
      <w:r w:rsidRPr="00D04940">
        <w:rPr>
          <w:sz w:val="20"/>
          <w:szCs w:val="20"/>
          <w:lang w:val="en-US"/>
        </w:rPr>
        <w:t xml:space="preserve"> I have elaborated this argument in Beširević, V., </w:t>
      </w:r>
      <w:r w:rsidRPr="00D04940">
        <w:rPr>
          <w:i/>
          <w:iCs/>
          <w:color w:val="000000"/>
          <w:sz w:val="20"/>
          <w:szCs w:val="20"/>
          <w:bdr w:val="none" w:sz="0" w:space="0" w:color="auto" w:frame="1"/>
          <w:lang w:val="en-US"/>
        </w:rPr>
        <w:t>Thinking Outside the Politics Box: Framing a Judicial Role in Shaping Militant Democracy in the European Union</w:t>
      </w:r>
      <w:r w:rsidRPr="00D04940">
        <w:rPr>
          <w:color w:val="000000"/>
          <w:sz w:val="20"/>
          <w:szCs w:val="20"/>
          <w:bdr w:val="none" w:sz="0" w:space="0" w:color="auto" w:frame="1"/>
          <w:lang w:val="en-US"/>
        </w:rPr>
        <w:t xml:space="preserve">, in: </w:t>
      </w:r>
      <w:proofErr w:type="spellStart"/>
      <w:r w:rsidRPr="00D04940">
        <w:rPr>
          <w:color w:val="000000"/>
          <w:sz w:val="20"/>
          <w:szCs w:val="20"/>
          <w:bdr w:val="none" w:sz="0" w:space="0" w:color="auto" w:frame="1"/>
          <w:lang w:val="en-US"/>
        </w:rPr>
        <w:t>Belov</w:t>
      </w:r>
      <w:proofErr w:type="spellEnd"/>
      <w:r w:rsidRPr="00D04940">
        <w:rPr>
          <w:color w:val="000000"/>
          <w:sz w:val="20"/>
          <w:szCs w:val="20"/>
          <w:bdr w:val="none" w:sz="0" w:space="0" w:color="auto" w:frame="1"/>
          <w:lang w:val="en-US"/>
        </w:rPr>
        <w:t>, M., (ed.),</w:t>
      </w:r>
      <w:r w:rsidRPr="00D04940">
        <w:rPr>
          <w:color w:val="26282A"/>
          <w:sz w:val="20"/>
          <w:szCs w:val="20"/>
          <w:bdr w:val="none" w:sz="0" w:space="0" w:color="auto" w:frame="1"/>
          <w:lang w:val="en-US"/>
        </w:rPr>
        <w:t>  </w:t>
      </w:r>
      <w:r w:rsidRPr="00D04940">
        <w:rPr>
          <w:i/>
          <w:iCs/>
          <w:color w:val="26282A"/>
          <w:sz w:val="20"/>
          <w:szCs w:val="20"/>
          <w:bdr w:val="none" w:sz="0" w:space="0" w:color="auto" w:frame="1"/>
          <w:lang w:val="en-US"/>
        </w:rPr>
        <w:t>Courts and Judicial Activism under Crisis Conditions: Policy Making in a Time of Illiberalism and Emergency Constitutionalism, </w:t>
      </w:r>
      <w:r w:rsidRPr="00D04940">
        <w:rPr>
          <w:color w:val="26282A"/>
          <w:sz w:val="20"/>
          <w:szCs w:val="20"/>
          <w:bdr w:val="none" w:sz="0" w:space="0" w:color="auto" w:frame="1"/>
          <w:lang w:val="en-US"/>
        </w:rPr>
        <w:t xml:space="preserve">Routledge, 2021, pp.74-98 (forthcoming). </w:t>
      </w:r>
    </w:p>
  </w:footnote>
  <w:footnote w:id="93">
    <w:p w14:paraId="3B8211A1" w14:textId="549E1490" w:rsidR="00AC2EBE" w:rsidRPr="00D04940" w:rsidRDefault="00AC2EBE" w:rsidP="00D04940">
      <w:pPr>
        <w:pStyle w:val="FootnoteText"/>
        <w:jc w:val="both"/>
      </w:pPr>
      <w:r w:rsidRPr="00D04940">
        <w:rPr>
          <w:rStyle w:val="FootnoteReference"/>
        </w:rPr>
        <w:footnoteRef/>
      </w:r>
      <w:r w:rsidRPr="00D04940">
        <w:t xml:space="preserve"> </w:t>
      </w:r>
      <w:r w:rsidR="00737092" w:rsidRPr="00D04940">
        <w:rPr>
          <w:color w:val="000000"/>
        </w:rPr>
        <w:t xml:space="preserve">Müller, </w:t>
      </w:r>
      <w:r w:rsidR="00257630" w:rsidRPr="00D04940">
        <w:rPr>
          <w:color w:val="000000"/>
        </w:rPr>
        <w:t xml:space="preserve">J.W., </w:t>
      </w:r>
      <w:r w:rsidR="00257630" w:rsidRPr="00D04940">
        <w:rPr>
          <w:i/>
          <w:iCs/>
          <w:color w:val="000000"/>
        </w:rPr>
        <w:t>op. cit</w:t>
      </w:r>
      <w:r w:rsidR="00257630" w:rsidRPr="00D04940">
        <w:rPr>
          <w:color w:val="000000"/>
        </w:rPr>
        <w:t>. (fn.7</w:t>
      </w:r>
      <w:r w:rsidR="00391536">
        <w:rPr>
          <w:color w:val="000000"/>
        </w:rPr>
        <w:t>9</w:t>
      </w:r>
      <w:r w:rsidR="00257630" w:rsidRPr="00D04940">
        <w:rPr>
          <w:color w:val="000000"/>
        </w:rPr>
        <w:t>),</w:t>
      </w:r>
      <w:r w:rsidR="00737092" w:rsidRPr="00D04940">
        <w:rPr>
          <w:color w:val="000000"/>
        </w:rPr>
        <w:t>pp. 18-31.</w:t>
      </w:r>
    </w:p>
  </w:footnote>
  <w:footnote w:id="94">
    <w:p w14:paraId="7627BE58" w14:textId="4FEE3C5B" w:rsidR="000A7D15" w:rsidRPr="006F08DA" w:rsidRDefault="002C16EB" w:rsidP="002C16EB">
      <w:pPr>
        <w:pStyle w:val="FootnoteText"/>
        <w:jc w:val="both"/>
        <w:rPr>
          <w:lang w:val="hr-HR"/>
        </w:rPr>
      </w:pPr>
      <w:r>
        <w:rPr>
          <w:lang w:val="hr-HR"/>
        </w:rPr>
        <w:t>*</w:t>
      </w:r>
      <w:r w:rsidR="00CA177C" w:rsidRPr="006F08DA">
        <w:rPr>
          <w:lang w:val="hr-HR"/>
        </w:rPr>
        <w:t xml:space="preserve">Prof. </w:t>
      </w:r>
      <w:r w:rsidR="006F08DA" w:rsidRPr="006F08DA">
        <w:rPr>
          <w:lang w:val="hr-HR"/>
        </w:rPr>
        <w:t>dr.</w:t>
      </w:r>
      <w:r w:rsidR="00CA177C" w:rsidRPr="006F08DA">
        <w:rPr>
          <w:lang w:val="hr-HR"/>
        </w:rPr>
        <w:t xml:space="preserve"> Violeta Beširević, Redovna profesorica Pravnog fakulteta Univerziteta </w:t>
      </w:r>
      <w:r w:rsidR="006F08DA" w:rsidRPr="006F08DA">
        <w:rPr>
          <w:lang w:val="hr-HR"/>
        </w:rPr>
        <w:t>U</w:t>
      </w:r>
      <w:r w:rsidR="00CA177C" w:rsidRPr="006F08DA">
        <w:rPr>
          <w:lang w:val="hr-HR"/>
        </w:rPr>
        <w:t xml:space="preserve">nion </w:t>
      </w:r>
      <w:r w:rsidR="006F08DA" w:rsidRPr="006F08DA">
        <w:rPr>
          <w:lang w:val="hr-HR"/>
        </w:rPr>
        <w:t>u</w:t>
      </w:r>
      <w:r w:rsidR="00CA177C" w:rsidRPr="006F08DA">
        <w:rPr>
          <w:lang w:val="hr-HR"/>
        </w:rPr>
        <w:t xml:space="preserve"> Beogradu</w:t>
      </w:r>
      <w:r w:rsidR="000A7D15" w:rsidRPr="006F08DA">
        <w:rPr>
          <w:lang w:val="hr-HR"/>
        </w:rPr>
        <w:t xml:space="preserve">; </w:t>
      </w:r>
      <w:r w:rsidR="00CA177C" w:rsidRPr="006F08DA">
        <w:rPr>
          <w:i/>
          <w:iCs/>
          <w:lang w:val="hr-HR"/>
        </w:rPr>
        <w:t>S.J.D.</w:t>
      </w:r>
      <w:r w:rsidR="000A7D15" w:rsidRPr="006F08DA">
        <w:rPr>
          <w:lang w:val="hr-HR"/>
        </w:rPr>
        <w:t xml:space="preserve"> Srednj</w:t>
      </w:r>
      <w:r>
        <w:rPr>
          <w:lang w:val="hr-HR"/>
        </w:rPr>
        <w:t>o</w:t>
      </w:r>
      <w:r w:rsidR="000A7D15" w:rsidRPr="006F08DA">
        <w:rPr>
          <w:lang w:val="hr-HR"/>
        </w:rPr>
        <w:t xml:space="preserve">europsko </w:t>
      </w:r>
      <w:r>
        <w:rPr>
          <w:lang w:val="hr-HR"/>
        </w:rPr>
        <w:t>s</w:t>
      </w:r>
      <w:r w:rsidR="000A7D15" w:rsidRPr="006F08DA">
        <w:rPr>
          <w:lang w:val="hr-HR"/>
        </w:rPr>
        <w:t xml:space="preserve">veučilište; </w:t>
      </w:r>
      <w:r w:rsidR="00CA177C" w:rsidRPr="006F08DA">
        <w:rPr>
          <w:lang w:val="hr-HR"/>
        </w:rPr>
        <w:t>besirevv@ceu.edu</w:t>
      </w:r>
      <w:r w:rsidR="006F08DA">
        <w:rPr>
          <w:lang w:val="hr-HR"/>
        </w:rPr>
        <w:t>;</w:t>
      </w:r>
      <w:r w:rsidR="00CA177C" w:rsidRPr="006F08DA">
        <w:rPr>
          <w:lang w:val="hr-HR"/>
        </w:rPr>
        <w:t xml:space="preserve"> violeta.besirevic@pravnifakultet.rs</w:t>
      </w:r>
      <w:r w:rsidR="006F08DA">
        <w:rPr>
          <w:lang w:val="hr-HR"/>
        </w:rPr>
        <w:t>;</w:t>
      </w:r>
    </w:p>
    <w:p w14:paraId="1720A8F9" w14:textId="249955B2" w:rsidR="006F08DA" w:rsidRPr="006F08DA" w:rsidRDefault="000A7D15" w:rsidP="002C16EB">
      <w:pPr>
        <w:jc w:val="both"/>
        <w:rPr>
          <w:sz w:val="20"/>
          <w:szCs w:val="20"/>
          <w:lang w:val="hr-HR"/>
        </w:rPr>
      </w:pPr>
      <w:r w:rsidRPr="006F08DA">
        <w:rPr>
          <w:sz w:val="20"/>
          <w:szCs w:val="20"/>
          <w:lang w:val="hr-HR"/>
        </w:rPr>
        <w:t>ORCID ID:</w:t>
      </w:r>
      <w:r w:rsidR="006F08DA" w:rsidRPr="006F08DA">
        <w:rPr>
          <w:sz w:val="20"/>
          <w:szCs w:val="20"/>
          <w:shd w:val="clear" w:color="auto" w:fill="FFFFFF"/>
          <w:lang w:val="hr-HR"/>
        </w:rPr>
        <w:t>orcid.org/0000-0001-9452-5630</w:t>
      </w:r>
    </w:p>
    <w:p w14:paraId="36AA7E08" w14:textId="5AFF0C3B" w:rsidR="00CA177C" w:rsidRPr="006F08DA" w:rsidRDefault="00CA177C" w:rsidP="002C16EB">
      <w:pPr>
        <w:pStyle w:val="FootnoteText"/>
        <w:jc w:val="both"/>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8344811"/>
      <w:docPartObj>
        <w:docPartGallery w:val="Page Numbers (Top of Page)"/>
        <w:docPartUnique/>
      </w:docPartObj>
    </w:sdtPr>
    <w:sdtEndPr>
      <w:rPr>
        <w:rStyle w:val="PageNumber"/>
      </w:rPr>
    </w:sdtEndPr>
    <w:sdtContent>
      <w:p w14:paraId="5DB8F877" w14:textId="3050F169" w:rsidR="005059C2" w:rsidRDefault="005059C2" w:rsidP="006A60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DC0502" w14:textId="77777777" w:rsidR="005059C2" w:rsidRDefault="005059C2" w:rsidP="005059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857454"/>
      <w:docPartObj>
        <w:docPartGallery w:val="Page Numbers (Top of Page)"/>
        <w:docPartUnique/>
      </w:docPartObj>
    </w:sdtPr>
    <w:sdtEndPr>
      <w:rPr>
        <w:rStyle w:val="PageNumber"/>
      </w:rPr>
    </w:sdtEndPr>
    <w:sdtContent>
      <w:p w14:paraId="0ACFF545" w14:textId="12194C89" w:rsidR="005059C2" w:rsidRDefault="005059C2" w:rsidP="006A60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014B4">
          <w:rPr>
            <w:rStyle w:val="PageNumber"/>
            <w:noProof/>
          </w:rPr>
          <w:t>4</w:t>
        </w:r>
        <w:r>
          <w:rPr>
            <w:rStyle w:val="PageNumber"/>
          </w:rPr>
          <w:fldChar w:fldCharType="end"/>
        </w:r>
      </w:p>
    </w:sdtContent>
  </w:sdt>
  <w:p w14:paraId="66D4BFD3" w14:textId="77777777" w:rsidR="005059C2" w:rsidRDefault="005059C2" w:rsidP="005059C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943"/>
    <w:multiLevelType w:val="hybridMultilevel"/>
    <w:tmpl w:val="3EFA4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E480D"/>
    <w:multiLevelType w:val="hybridMultilevel"/>
    <w:tmpl w:val="A226F97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B67A4"/>
    <w:multiLevelType w:val="multilevel"/>
    <w:tmpl w:val="0E7024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00E13E5"/>
    <w:multiLevelType w:val="multilevel"/>
    <w:tmpl w:val="3B860B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3696213"/>
    <w:multiLevelType w:val="hybridMultilevel"/>
    <w:tmpl w:val="9942EF4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95"/>
    <w:rsid w:val="000007F6"/>
    <w:rsid w:val="000018B4"/>
    <w:rsid w:val="000030DA"/>
    <w:rsid w:val="00014F8E"/>
    <w:rsid w:val="0001573B"/>
    <w:rsid w:val="00023684"/>
    <w:rsid w:val="00031064"/>
    <w:rsid w:val="0003309B"/>
    <w:rsid w:val="0003347B"/>
    <w:rsid w:val="0003363D"/>
    <w:rsid w:val="00033986"/>
    <w:rsid w:val="00035287"/>
    <w:rsid w:val="00036C4D"/>
    <w:rsid w:val="00045D34"/>
    <w:rsid w:val="00061277"/>
    <w:rsid w:val="0007492A"/>
    <w:rsid w:val="0007748B"/>
    <w:rsid w:val="00082026"/>
    <w:rsid w:val="0008254E"/>
    <w:rsid w:val="00086297"/>
    <w:rsid w:val="00086E24"/>
    <w:rsid w:val="000903CB"/>
    <w:rsid w:val="0009106E"/>
    <w:rsid w:val="00091401"/>
    <w:rsid w:val="00093F72"/>
    <w:rsid w:val="000A0685"/>
    <w:rsid w:val="000A1B34"/>
    <w:rsid w:val="000A35BE"/>
    <w:rsid w:val="000A5E16"/>
    <w:rsid w:val="000A7D15"/>
    <w:rsid w:val="000B0DDA"/>
    <w:rsid w:val="000B19FB"/>
    <w:rsid w:val="000B4E16"/>
    <w:rsid w:val="000C0EC0"/>
    <w:rsid w:val="000C386F"/>
    <w:rsid w:val="000C3F18"/>
    <w:rsid w:val="000D32FE"/>
    <w:rsid w:val="000E609B"/>
    <w:rsid w:val="000E6643"/>
    <w:rsid w:val="000F0A04"/>
    <w:rsid w:val="000F23E5"/>
    <w:rsid w:val="000F6F4D"/>
    <w:rsid w:val="001102CD"/>
    <w:rsid w:val="00113D1F"/>
    <w:rsid w:val="00114EBE"/>
    <w:rsid w:val="0012348F"/>
    <w:rsid w:val="001238F6"/>
    <w:rsid w:val="0012703C"/>
    <w:rsid w:val="00135AF1"/>
    <w:rsid w:val="00136BC4"/>
    <w:rsid w:val="00137825"/>
    <w:rsid w:val="00141C6C"/>
    <w:rsid w:val="00147381"/>
    <w:rsid w:val="001500EA"/>
    <w:rsid w:val="001522A2"/>
    <w:rsid w:val="0015429C"/>
    <w:rsid w:val="001565C3"/>
    <w:rsid w:val="00160573"/>
    <w:rsid w:val="00166D8B"/>
    <w:rsid w:val="0017541F"/>
    <w:rsid w:val="00175AE3"/>
    <w:rsid w:val="00187BE3"/>
    <w:rsid w:val="00191F48"/>
    <w:rsid w:val="00193E2F"/>
    <w:rsid w:val="001943B5"/>
    <w:rsid w:val="00194B3D"/>
    <w:rsid w:val="001A2AF3"/>
    <w:rsid w:val="001A41EB"/>
    <w:rsid w:val="001B1DFE"/>
    <w:rsid w:val="001E1F0F"/>
    <w:rsid w:val="001E32A9"/>
    <w:rsid w:val="001E3EAF"/>
    <w:rsid w:val="001E6223"/>
    <w:rsid w:val="001E6232"/>
    <w:rsid w:val="001E7ADB"/>
    <w:rsid w:val="001E7B1D"/>
    <w:rsid w:val="001F37A7"/>
    <w:rsid w:val="001F5BDC"/>
    <w:rsid w:val="00202024"/>
    <w:rsid w:val="002037B6"/>
    <w:rsid w:val="002102E1"/>
    <w:rsid w:val="0021228D"/>
    <w:rsid w:val="00212ABE"/>
    <w:rsid w:val="00213C9F"/>
    <w:rsid w:val="0022445F"/>
    <w:rsid w:val="00234CDE"/>
    <w:rsid w:val="00235C59"/>
    <w:rsid w:val="002360A3"/>
    <w:rsid w:val="00237CB0"/>
    <w:rsid w:val="00247C7B"/>
    <w:rsid w:val="002507BA"/>
    <w:rsid w:val="0025125A"/>
    <w:rsid w:val="00256067"/>
    <w:rsid w:val="00257630"/>
    <w:rsid w:val="002577AB"/>
    <w:rsid w:val="002577B8"/>
    <w:rsid w:val="0026074F"/>
    <w:rsid w:val="00261AB9"/>
    <w:rsid w:val="002716B3"/>
    <w:rsid w:val="00280D29"/>
    <w:rsid w:val="00283948"/>
    <w:rsid w:val="00285421"/>
    <w:rsid w:val="002854B5"/>
    <w:rsid w:val="00291A85"/>
    <w:rsid w:val="00294EE8"/>
    <w:rsid w:val="002960B1"/>
    <w:rsid w:val="002966EA"/>
    <w:rsid w:val="00297375"/>
    <w:rsid w:val="00297B68"/>
    <w:rsid w:val="002A7021"/>
    <w:rsid w:val="002B2CB6"/>
    <w:rsid w:val="002B5DAF"/>
    <w:rsid w:val="002C16EB"/>
    <w:rsid w:val="002C389A"/>
    <w:rsid w:val="002C6FD0"/>
    <w:rsid w:val="002C7623"/>
    <w:rsid w:val="002C7DE3"/>
    <w:rsid w:val="002D11CA"/>
    <w:rsid w:val="002D1C60"/>
    <w:rsid w:val="002D3DA4"/>
    <w:rsid w:val="002D601A"/>
    <w:rsid w:val="002E4818"/>
    <w:rsid w:val="002F38F4"/>
    <w:rsid w:val="002F5181"/>
    <w:rsid w:val="002F77E9"/>
    <w:rsid w:val="002F7A1E"/>
    <w:rsid w:val="003061BC"/>
    <w:rsid w:val="00317636"/>
    <w:rsid w:val="00321DF5"/>
    <w:rsid w:val="00325CA2"/>
    <w:rsid w:val="00333DB3"/>
    <w:rsid w:val="00342D6A"/>
    <w:rsid w:val="00344208"/>
    <w:rsid w:val="00352186"/>
    <w:rsid w:val="00352CD0"/>
    <w:rsid w:val="0035574C"/>
    <w:rsid w:val="003641E5"/>
    <w:rsid w:val="003656B7"/>
    <w:rsid w:val="00366683"/>
    <w:rsid w:val="003702F1"/>
    <w:rsid w:val="0037354A"/>
    <w:rsid w:val="00373AF1"/>
    <w:rsid w:val="00373B6B"/>
    <w:rsid w:val="00374839"/>
    <w:rsid w:val="003751FD"/>
    <w:rsid w:val="00386CB0"/>
    <w:rsid w:val="00391536"/>
    <w:rsid w:val="0039458D"/>
    <w:rsid w:val="00395E03"/>
    <w:rsid w:val="003A2C4F"/>
    <w:rsid w:val="003A6B10"/>
    <w:rsid w:val="003B200F"/>
    <w:rsid w:val="003B27CC"/>
    <w:rsid w:val="003B4B96"/>
    <w:rsid w:val="003B4E31"/>
    <w:rsid w:val="003B6CC9"/>
    <w:rsid w:val="003B7961"/>
    <w:rsid w:val="003C099E"/>
    <w:rsid w:val="003C3046"/>
    <w:rsid w:val="003C7AC7"/>
    <w:rsid w:val="003D3459"/>
    <w:rsid w:val="003D3B85"/>
    <w:rsid w:val="003D5DCA"/>
    <w:rsid w:val="003D76EF"/>
    <w:rsid w:val="003D7A96"/>
    <w:rsid w:val="003E0129"/>
    <w:rsid w:val="003E0E2E"/>
    <w:rsid w:val="003E1B9C"/>
    <w:rsid w:val="003E1F8F"/>
    <w:rsid w:val="003E28EA"/>
    <w:rsid w:val="003E2BCE"/>
    <w:rsid w:val="003E6A86"/>
    <w:rsid w:val="003E6F26"/>
    <w:rsid w:val="003F04AD"/>
    <w:rsid w:val="003F1695"/>
    <w:rsid w:val="003F1A96"/>
    <w:rsid w:val="003F1CDE"/>
    <w:rsid w:val="003F297D"/>
    <w:rsid w:val="003F74F7"/>
    <w:rsid w:val="004014B4"/>
    <w:rsid w:val="004033B1"/>
    <w:rsid w:val="004114D4"/>
    <w:rsid w:val="004142F0"/>
    <w:rsid w:val="004171B2"/>
    <w:rsid w:val="004201DC"/>
    <w:rsid w:val="00421DE4"/>
    <w:rsid w:val="00422D12"/>
    <w:rsid w:val="00422E8F"/>
    <w:rsid w:val="004269C6"/>
    <w:rsid w:val="00431968"/>
    <w:rsid w:val="0043734C"/>
    <w:rsid w:val="00451861"/>
    <w:rsid w:val="004525AC"/>
    <w:rsid w:val="00452D51"/>
    <w:rsid w:val="00454F94"/>
    <w:rsid w:val="0045740B"/>
    <w:rsid w:val="00460562"/>
    <w:rsid w:val="00471E8B"/>
    <w:rsid w:val="00491566"/>
    <w:rsid w:val="004A4AD0"/>
    <w:rsid w:val="004A5E58"/>
    <w:rsid w:val="004B60E3"/>
    <w:rsid w:val="004D229F"/>
    <w:rsid w:val="004D4101"/>
    <w:rsid w:val="004E0887"/>
    <w:rsid w:val="004E2F18"/>
    <w:rsid w:val="005012F1"/>
    <w:rsid w:val="00504A53"/>
    <w:rsid w:val="00505430"/>
    <w:rsid w:val="005059C2"/>
    <w:rsid w:val="00511569"/>
    <w:rsid w:val="00512F74"/>
    <w:rsid w:val="00515B8A"/>
    <w:rsid w:val="005256B3"/>
    <w:rsid w:val="00531FBF"/>
    <w:rsid w:val="0053285D"/>
    <w:rsid w:val="00533022"/>
    <w:rsid w:val="005348BB"/>
    <w:rsid w:val="00551C5C"/>
    <w:rsid w:val="00552820"/>
    <w:rsid w:val="005541FE"/>
    <w:rsid w:val="00557616"/>
    <w:rsid w:val="00562F42"/>
    <w:rsid w:val="00563C2B"/>
    <w:rsid w:val="00564961"/>
    <w:rsid w:val="00566AA8"/>
    <w:rsid w:val="00570B4E"/>
    <w:rsid w:val="00570CB9"/>
    <w:rsid w:val="005768EB"/>
    <w:rsid w:val="00585684"/>
    <w:rsid w:val="00585771"/>
    <w:rsid w:val="0058671E"/>
    <w:rsid w:val="00586838"/>
    <w:rsid w:val="005A4625"/>
    <w:rsid w:val="005B3FBF"/>
    <w:rsid w:val="005B4804"/>
    <w:rsid w:val="005B53BB"/>
    <w:rsid w:val="005C19E3"/>
    <w:rsid w:val="005C2171"/>
    <w:rsid w:val="005C425C"/>
    <w:rsid w:val="005D09C1"/>
    <w:rsid w:val="005D38C7"/>
    <w:rsid w:val="005D43D2"/>
    <w:rsid w:val="005E2ACB"/>
    <w:rsid w:val="005E2FF5"/>
    <w:rsid w:val="005E7389"/>
    <w:rsid w:val="005F1478"/>
    <w:rsid w:val="005F62E0"/>
    <w:rsid w:val="005F78FF"/>
    <w:rsid w:val="006007D5"/>
    <w:rsid w:val="006008F1"/>
    <w:rsid w:val="00600EFE"/>
    <w:rsid w:val="006066E5"/>
    <w:rsid w:val="006069BB"/>
    <w:rsid w:val="00607944"/>
    <w:rsid w:val="00614807"/>
    <w:rsid w:val="006161E0"/>
    <w:rsid w:val="006217FD"/>
    <w:rsid w:val="006255F7"/>
    <w:rsid w:val="00625AC5"/>
    <w:rsid w:val="006301A1"/>
    <w:rsid w:val="00643890"/>
    <w:rsid w:val="00643DC2"/>
    <w:rsid w:val="0064499E"/>
    <w:rsid w:val="00644EEB"/>
    <w:rsid w:val="00645878"/>
    <w:rsid w:val="006478DC"/>
    <w:rsid w:val="006512F3"/>
    <w:rsid w:val="00652428"/>
    <w:rsid w:val="0065326A"/>
    <w:rsid w:val="00663C98"/>
    <w:rsid w:val="00681C65"/>
    <w:rsid w:val="00681C89"/>
    <w:rsid w:val="00682003"/>
    <w:rsid w:val="006833FA"/>
    <w:rsid w:val="0068475E"/>
    <w:rsid w:val="00686C4F"/>
    <w:rsid w:val="00693A16"/>
    <w:rsid w:val="0069498D"/>
    <w:rsid w:val="006979AF"/>
    <w:rsid w:val="006A0DFA"/>
    <w:rsid w:val="006A34AC"/>
    <w:rsid w:val="006A3BDA"/>
    <w:rsid w:val="006A482F"/>
    <w:rsid w:val="006A6AB7"/>
    <w:rsid w:val="006A6D71"/>
    <w:rsid w:val="006A7C40"/>
    <w:rsid w:val="006B7F07"/>
    <w:rsid w:val="006C30B1"/>
    <w:rsid w:val="006C67C5"/>
    <w:rsid w:val="006D64EE"/>
    <w:rsid w:val="006D6870"/>
    <w:rsid w:val="006E04EE"/>
    <w:rsid w:val="006E355B"/>
    <w:rsid w:val="006E7915"/>
    <w:rsid w:val="006F08DA"/>
    <w:rsid w:val="006F1534"/>
    <w:rsid w:val="006F1A5A"/>
    <w:rsid w:val="006F36C4"/>
    <w:rsid w:val="006F6AC8"/>
    <w:rsid w:val="00703732"/>
    <w:rsid w:val="00704A24"/>
    <w:rsid w:val="00710084"/>
    <w:rsid w:val="00711DE6"/>
    <w:rsid w:val="00712157"/>
    <w:rsid w:val="00715EE4"/>
    <w:rsid w:val="00726FBA"/>
    <w:rsid w:val="00732671"/>
    <w:rsid w:val="00733C44"/>
    <w:rsid w:val="00734A78"/>
    <w:rsid w:val="00735988"/>
    <w:rsid w:val="00737092"/>
    <w:rsid w:val="00737A07"/>
    <w:rsid w:val="00740D02"/>
    <w:rsid w:val="007418D0"/>
    <w:rsid w:val="00741C7E"/>
    <w:rsid w:val="00742C6E"/>
    <w:rsid w:val="00751623"/>
    <w:rsid w:val="007649D2"/>
    <w:rsid w:val="007654C5"/>
    <w:rsid w:val="00770292"/>
    <w:rsid w:val="00771CB7"/>
    <w:rsid w:val="0078031C"/>
    <w:rsid w:val="007810D6"/>
    <w:rsid w:val="00783294"/>
    <w:rsid w:val="007873BA"/>
    <w:rsid w:val="007A5E7D"/>
    <w:rsid w:val="007A74BC"/>
    <w:rsid w:val="007B2E95"/>
    <w:rsid w:val="007B2F30"/>
    <w:rsid w:val="007B4BE2"/>
    <w:rsid w:val="007B53FA"/>
    <w:rsid w:val="007C3AEA"/>
    <w:rsid w:val="007C6550"/>
    <w:rsid w:val="007C78D7"/>
    <w:rsid w:val="007D1142"/>
    <w:rsid w:val="007D30B4"/>
    <w:rsid w:val="007D7B76"/>
    <w:rsid w:val="007D7D6A"/>
    <w:rsid w:val="007E0F76"/>
    <w:rsid w:val="007E1A3E"/>
    <w:rsid w:val="007E4B59"/>
    <w:rsid w:val="007E64A8"/>
    <w:rsid w:val="007F012A"/>
    <w:rsid w:val="007F045A"/>
    <w:rsid w:val="007F13EC"/>
    <w:rsid w:val="007F1A37"/>
    <w:rsid w:val="007F59F3"/>
    <w:rsid w:val="007F5F86"/>
    <w:rsid w:val="00801EDD"/>
    <w:rsid w:val="00804A95"/>
    <w:rsid w:val="0080774C"/>
    <w:rsid w:val="00814B39"/>
    <w:rsid w:val="0081677E"/>
    <w:rsid w:val="00826D4D"/>
    <w:rsid w:val="008272DC"/>
    <w:rsid w:val="00827EB5"/>
    <w:rsid w:val="00831B03"/>
    <w:rsid w:val="00833633"/>
    <w:rsid w:val="0084086E"/>
    <w:rsid w:val="00842134"/>
    <w:rsid w:val="00843FB7"/>
    <w:rsid w:val="00844560"/>
    <w:rsid w:val="008576A6"/>
    <w:rsid w:val="00862889"/>
    <w:rsid w:val="00863F3F"/>
    <w:rsid w:val="008641B4"/>
    <w:rsid w:val="00864594"/>
    <w:rsid w:val="008677A1"/>
    <w:rsid w:val="008752BC"/>
    <w:rsid w:val="00880995"/>
    <w:rsid w:val="00881E8E"/>
    <w:rsid w:val="00884444"/>
    <w:rsid w:val="008918DE"/>
    <w:rsid w:val="008943EA"/>
    <w:rsid w:val="00895074"/>
    <w:rsid w:val="008A1AB3"/>
    <w:rsid w:val="008A5979"/>
    <w:rsid w:val="008A6435"/>
    <w:rsid w:val="008B0C5D"/>
    <w:rsid w:val="008B1A54"/>
    <w:rsid w:val="008B7ED3"/>
    <w:rsid w:val="008C1B8F"/>
    <w:rsid w:val="008C1CEA"/>
    <w:rsid w:val="008C2649"/>
    <w:rsid w:val="008C6186"/>
    <w:rsid w:val="008E24D9"/>
    <w:rsid w:val="008E5BE5"/>
    <w:rsid w:val="008E5F1B"/>
    <w:rsid w:val="008E6642"/>
    <w:rsid w:val="008F1441"/>
    <w:rsid w:val="00900619"/>
    <w:rsid w:val="00900AF7"/>
    <w:rsid w:val="009037D1"/>
    <w:rsid w:val="0090796B"/>
    <w:rsid w:val="00907A47"/>
    <w:rsid w:val="00911BB7"/>
    <w:rsid w:val="009178B4"/>
    <w:rsid w:val="00922486"/>
    <w:rsid w:val="009235E6"/>
    <w:rsid w:val="00930143"/>
    <w:rsid w:val="00941D69"/>
    <w:rsid w:val="00945C5A"/>
    <w:rsid w:val="00951EF6"/>
    <w:rsid w:val="00952BEE"/>
    <w:rsid w:val="0095549C"/>
    <w:rsid w:val="009609E0"/>
    <w:rsid w:val="00962B3B"/>
    <w:rsid w:val="00966092"/>
    <w:rsid w:val="0096690F"/>
    <w:rsid w:val="009718B3"/>
    <w:rsid w:val="00975113"/>
    <w:rsid w:val="00976383"/>
    <w:rsid w:val="00976DCE"/>
    <w:rsid w:val="00981545"/>
    <w:rsid w:val="0098376A"/>
    <w:rsid w:val="00987958"/>
    <w:rsid w:val="009924D6"/>
    <w:rsid w:val="00997E6B"/>
    <w:rsid w:val="009A3758"/>
    <w:rsid w:val="009A3E88"/>
    <w:rsid w:val="009A4BF0"/>
    <w:rsid w:val="009A6D63"/>
    <w:rsid w:val="009A7576"/>
    <w:rsid w:val="009B0391"/>
    <w:rsid w:val="009B0C99"/>
    <w:rsid w:val="009B2884"/>
    <w:rsid w:val="009B4E8F"/>
    <w:rsid w:val="009C0979"/>
    <w:rsid w:val="009C6EBD"/>
    <w:rsid w:val="009C7E85"/>
    <w:rsid w:val="009D1D4E"/>
    <w:rsid w:val="009D348F"/>
    <w:rsid w:val="009D666A"/>
    <w:rsid w:val="009E1534"/>
    <w:rsid w:val="009E4534"/>
    <w:rsid w:val="009E6993"/>
    <w:rsid w:val="009F4FB0"/>
    <w:rsid w:val="00A043F4"/>
    <w:rsid w:val="00A05224"/>
    <w:rsid w:val="00A10DDB"/>
    <w:rsid w:val="00A11AFE"/>
    <w:rsid w:val="00A11FF7"/>
    <w:rsid w:val="00A1247A"/>
    <w:rsid w:val="00A16773"/>
    <w:rsid w:val="00A20EE6"/>
    <w:rsid w:val="00A24E8A"/>
    <w:rsid w:val="00A26A58"/>
    <w:rsid w:val="00A32E06"/>
    <w:rsid w:val="00A37D4D"/>
    <w:rsid w:val="00A41B4E"/>
    <w:rsid w:val="00A4462F"/>
    <w:rsid w:val="00A520FC"/>
    <w:rsid w:val="00A53FF3"/>
    <w:rsid w:val="00A57D25"/>
    <w:rsid w:val="00A6093A"/>
    <w:rsid w:val="00A64366"/>
    <w:rsid w:val="00A72787"/>
    <w:rsid w:val="00A72BC1"/>
    <w:rsid w:val="00A738C3"/>
    <w:rsid w:val="00A73B07"/>
    <w:rsid w:val="00A73B29"/>
    <w:rsid w:val="00A76D2E"/>
    <w:rsid w:val="00A803A8"/>
    <w:rsid w:val="00A8060A"/>
    <w:rsid w:val="00A85CB5"/>
    <w:rsid w:val="00A90930"/>
    <w:rsid w:val="00A93305"/>
    <w:rsid w:val="00A95066"/>
    <w:rsid w:val="00A95128"/>
    <w:rsid w:val="00A9574D"/>
    <w:rsid w:val="00A978E1"/>
    <w:rsid w:val="00AA3163"/>
    <w:rsid w:val="00AA6E0D"/>
    <w:rsid w:val="00AB13A2"/>
    <w:rsid w:val="00AB2101"/>
    <w:rsid w:val="00AB3447"/>
    <w:rsid w:val="00AB662C"/>
    <w:rsid w:val="00AC2EBE"/>
    <w:rsid w:val="00AC35BD"/>
    <w:rsid w:val="00AC4DA9"/>
    <w:rsid w:val="00AC50C3"/>
    <w:rsid w:val="00AD24D5"/>
    <w:rsid w:val="00AD276F"/>
    <w:rsid w:val="00AD2AD1"/>
    <w:rsid w:val="00AD6EFA"/>
    <w:rsid w:val="00AE12DA"/>
    <w:rsid w:val="00AF1913"/>
    <w:rsid w:val="00AF732B"/>
    <w:rsid w:val="00AF7CE7"/>
    <w:rsid w:val="00B00F1F"/>
    <w:rsid w:val="00B050AB"/>
    <w:rsid w:val="00B12EB8"/>
    <w:rsid w:val="00B22DC3"/>
    <w:rsid w:val="00B2309B"/>
    <w:rsid w:val="00B246F8"/>
    <w:rsid w:val="00B25146"/>
    <w:rsid w:val="00B34C99"/>
    <w:rsid w:val="00B46AD0"/>
    <w:rsid w:val="00B51603"/>
    <w:rsid w:val="00B51E20"/>
    <w:rsid w:val="00B54935"/>
    <w:rsid w:val="00B60DE9"/>
    <w:rsid w:val="00B65B47"/>
    <w:rsid w:val="00B721D3"/>
    <w:rsid w:val="00B77E7B"/>
    <w:rsid w:val="00B854E6"/>
    <w:rsid w:val="00B8643C"/>
    <w:rsid w:val="00B871AB"/>
    <w:rsid w:val="00B87532"/>
    <w:rsid w:val="00B91A32"/>
    <w:rsid w:val="00B930C4"/>
    <w:rsid w:val="00BB0700"/>
    <w:rsid w:val="00BB1F29"/>
    <w:rsid w:val="00BB2DD3"/>
    <w:rsid w:val="00BB5655"/>
    <w:rsid w:val="00BC09FE"/>
    <w:rsid w:val="00BC3290"/>
    <w:rsid w:val="00BC33FA"/>
    <w:rsid w:val="00BC3A6D"/>
    <w:rsid w:val="00BC3BD9"/>
    <w:rsid w:val="00BC6A19"/>
    <w:rsid w:val="00BC7398"/>
    <w:rsid w:val="00BD0F91"/>
    <w:rsid w:val="00BD1B82"/>
    <w:rsid w:val="00BD28E0"/>
    <w:rsid w:val="00BD29CA"/>
    <w:rsid w:val="00BD5E79"/>
    <w:rsid w:val="00BE36E4"/>
    <w:rsid w:val="00BE52F6"/>
    <w:rsid w:val="00BE5E21"/>
    <w:rsid w:val="00C01109"/>
    <w:rsid w:val="00C10873"/>
    <w:rsid w:val="00C122D9"/>
    <w:rsid w:val="00C20F96"/>
    <w:rsid w:val="00C22176"/>
    <w:rsid w:val="00C2634F"/>
    <w:rsid w:val="00C2676E"/>
    <w:rsid w:val="00C27D51"/>
    <w:rsid w:val="00C335BE"/>
    <w:rsid w:val="00C354A8"/>
    <w:rsid w:val="00C36FE5"/>
    <w:rsid w:val="00C378B8"/>
    <w:rsid w:val="00C466A9"/>
    <w:rsid w:val="00C55D0D"/>
    <w:rsid w:val="00C55EFC"/>
    <w:rsid w:val="00C65370"/>
    <w:rsid w:val="00C6559C"/>
    <w:rsid w:val="00C7107A"/>
    <w:rsid w:val="00C74020"/>
    <w:rsid w:val="00C75536"/>
    <w:rsid w:val="00C77DF8"/>
    <w:rsid w:val="00C77E45"/>
    <w:rsid w:val="00C83167"/>
    <w:rsid w:val="00C92E67"/>
    <w:rsid w:val="00C94D6E"/>
    <w:rsid w:val="00CA0230"/>
    <w:rsid w:val="00CA177C"/>
    <w:rsid w:val="00CB45F2"/>
    <w:rsid w:val="00CB68F1"/>
    <w:rsid w:val="00CB74E2"/>
    <w:rsid w:val="00CC0F72"/>
    <w:rsid w:val="00CD02B2"/>
    <w:rsid w:val="00CD0A67"/>
    <w:rsid w:val="00CD105B"/>
    <w:rsid w:val="00CD3AA1"/>
    <w:rsid w:val="00CD4A8A"/>
    <w:rsid w:val="00CD6B5A"/>
    <w:rsid w:val="00CE16F4"/>
    <w:rsid w:val="00CE1FCB"/>
    <w:rsid w:val="00CE6106"/>
    <w:rsid w:val="00CF038F"/>
    <w:rsid w:val="00CF2A54"/>
    <w:rsid w:val="00CF2E28"/>
    <w:rsid w:val="00CF45AB"/>
    <w:rsid w:val="00D04940"/>
    <w:rsid w:val="00D103DB"/>
    <w:rsid w:val="00D25B9D"/>
    <w:rsid w:val="00D272B2"/>
    <w:rsid w:val="00D30334"/>
    <w:rsid w:val="00D306B9"/>
    <w:rsid w:val="00D34526"/>
    <w:rsid w:val="00D366F5"/>
    <w:rsid w:val="00D51E33"/>
    <w:rsid w:val="00D535E9"/>
    <w:rsid w:val="00D5475A"/>
    <w:rsid w:val="00D5647F"/>
    <w:rsid w:val="00D624AD"/>
    <w:rsid w:val="00D71B13"/>
    <w:rsid w:val="00D73324"/>
    <w:rsid w:val="00D75FBA"/>
    <w:rsid w:val="00D764C0"/>
    <w:rsid w:val="00D81FC5"/>
    <w:rsid w:val="00D8245D"/>
    <w:rsid w:val="00D82DA9"/>
    <w:rsid w:val="00D83942"/>
    <w:rsid w:val="00D83DDF"/>
    <w:rsid w:val="00D83EEA"/>
    <w:rsid w:val="00D844E3"/>
    <w:rsid w:val="00D939CE"/>
    <w:rsid w:val="00D948FC"/>
    <w:rsid w:val="00D95CC4"/>
    <w:rsid w:val="00D96C7B"/>
    <w:rsid w:val="00D9761B"/>
    <w:rsid w:val="00DA102C"/>
    <w:rsid w:val="00DA30C7"/>
    <w:rsid w:val="00DB0098"/>
    <w:rsid w:val="00DB02FB"/>
    <w:rsid w:val="00DB1B16"/>
    <w:rsid w:val="00DB1D6C"/>
    <w:rsid w:val="00DC513D"/>
    <w:rsid w:val="00DD0F27"/>
    <w:rsid w:val="00DD6A43"/>
    <w:rsid w:val="00DD7B2E"/>
    <w:rsid w:val="00DE29A7"/>
    <w:rsid w:val="00DE324E"/>
    <w:rsid w:val="00DE741C"/>
    <w:rsid w:val="00DF0FD1"/>
    <w:rsid w:val="00E10703"/>
    <w:rsid w:val="00E12995"/>
    <w:rsid w:val="00E16C06"/>
    <w:rsid w:val="00E173CC"/>
    <w:rsid w:val="00E26D4D"/>
    <w:rsid w:val="00E30C0F"/>
    <w:rsid w:val="00E3128E"/>
    <w:rsid w:val="00E31626"/>
    <w:rsid w:val="00E32025"/>
    <w:rsid w:val="00E3262C"/>
    <w:rsid w:val="00E35F33"/>
    <w:rsid w:val="00E364C0"/>
    <w:rsid w:val="00E40EF7"/>
    <w:rsid w:val="00E470FA"/>
    <w:rsid w:val="00E51254"/>
    <w:rsid w:val="00E52A61"/>
    <w:rsid w:val="00E55C19"/>
    <w:rsid w:val="00E71E45"/>
    <w:rsid w:val="00E72567"/>
    <w:rsid w:val="00E76FDD"/>
    <w:rsid w:val="00E8113B"/>
    <w:rsid w:val="00E81444"/>
    <w:rsid w:val="00E82997"/>
    <w:rsid w:val="00E84153"/>
    <w:rsid w:val="00E92A26"/>
    <w:rsid w:val="00E975B6"/>
    <w:rsid w:val="00E975CE"/>
    <w:rsid w:val="00EA0637"/>
    <w:rsid w:val="00EA5EB3"/>
    <w:rsid w:val="00EB1594"/>
    <w:rsid w:val="00EB3D60"/>
    <w:rsid w:val="00EC081A"/>
    <w:rsid w:val="00EC2F2F"/>
    <w:rsid w:val="00EC4C3F"/>
    <w:rsid w:val="00EC5AE5"/>
    <w:rsid w:val="00EC6095"/>
    <w:rsid w:val="00ED225B"/>
    <w:rsid w:val="00ED27F1"/>
    <w:rsid w:val="00ED6076"/>
    <w:rsid w:val="00ED71B0"/>
    <w:rsid w:val="00EE07EC"/>
    <w:rsid w:val="00EE36A0"/>
    <w:rsid w:val="00EF37A6"/>
    <w:rsid w:val="00EF402D"/>
    <w:rsid w:val="00F02A4A"/>
    <w:rsid w:val="00F050D0"/>
    <w:rsid w:val="00F06847"/>
    <w:rsid w:val="00F10A86"/>
    <w:rsid w:val="00F12C49"/>
    <w:rsid w:val="00F1442A"/>
    <w:rsid w:val="00F15F1C"/>
    <w:rsid w:val="00F23372"/>
    <w:rsid w:val="00F25158"/>
    <w:rsid w:val="00F31B6B"/>
    <w:rsid w:val="00F40DC8"/>
    <w:rsid w:val="00F42735"/>
    <w:rsid w:val="00F438CE"/>
    <w:rsid w:val="00F5283B"/>
    <w:rsid w:val="00F54D39"/>
    <w:rsid w:val="00F56B5B"/>
    <w:rsid w:val="00F57921"/>
    <w:rsid w:val="00F57E74"/>
    <w:rsid w:val="00F61703"/>
    <w:rsid w:val="00F625BB"/>
    <w:rsid w:val="00F62DF1"/>
    <w:rsid w:val="00F66821"/>
    <w:rsid w:val="00F7110D"/>
    <w:rsid w:val="00F81421"/>
    <w:rsid w:val="00F81FF2"/>
    <w:rsid w:val="00F84C63"/>
    <w:rsid w:val="00F909E4"/>
    <w:rsid w:val="00F960F1"/>
    <w:rsid w:val="00FA0A10"/>
    <w:rsid w:val="00FA1921"/>
    <w:rsid w:val="00FB16AF"/>
    <w:rsid w:val="00FB26A9"/>
    <w:rsid w:val="00FB632C"/>
    <w:rsid w:val="00FC2921"/>
    <w:rsid w:val="00FC4C28"/>
    <w:rsid w:val="00FC4E52"/>
    <w:rsid w:val="00FD2105"/>
    <w:rsid w:val="00FD5420"/>
    <w:rsid w:val="00FD7DB8"/>
    <w:rsid w:val="00FE36D4"/>
    <w:rsid w:val="00FE7816"/>
    <w:rsid w:val="00FF43CA"/>
    <w:rsid w:val="00FF6BCE"/>
    <w:rsid w:val="00FF7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D847"/>
  <w15:chartTrackingRefBased/>
  <w15:docId w15:val="{3F388453-8FB6-0949-A12A-686190A4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76"/>
    <w:rPr>
      <w:rFonts w:eastAsia="Times New Roman"/>
      <w:sz w:val="24"/>
      <w:szCs w:val="24"/>
      <w:lang w:eastAsia="en-GB"/>
    </w:rPr>
  </w:style>
  <w:style w:type="paragraph" w:styleId="Heading1">
    <w:name w:val="heading 1"/>
    <w:basedOn w:val="Normal"/>
    <w:link w:val="Heading1Char"/>
    <w:uiPriority w:val="9"/>
    <w:qFormat/>
    <w:rsid w:val="009B288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har,Char Char,Char"/>
    <w:basedOn w:val="Normal"/>
    <w:link w:val="FootnoteTextChar"/>
    <w:uiPriority w:val="99"/>
    <w:rsid w:val="00804A95"/>
    <w:rPr>
      <w:sz w:val="20"/>
      <w:szCs w:val="20"/>
      <w:lang w:val="en-US"/>
    </w:rPr>
  </w:style>
  <w:style w:type="character" w:customStyle="1" w:styleId="FootnoteTextChar">
    <w:name w:val="Footnote Text Char"/>
    <w:aliases w:val="Char Char Char Char,Char Char Char1,Char Char1"/>
    <w:basedOn w:val="DefaultParagraphFont"/>
    <w:link w:val="FootnoteText"/>
    <w:uiPriority w:val="99"/>
    <w:rsid w:val="00804A95"/>
    <w:rPr>
      <w:rFonts w:eastAsia="Times New Roman"/>
      <w:lang w:val="en-US" w:eastAsia="en-GB"/>
    </w:rPr>
  </w:style>
  <w:style w:type="character" w:styleId="FootnoteReference">
    <w:name w:val="footnote reference"/>
    <w:aliases w:val="Footnotes refss"/>
    <w:rsid w:val="00804A95"/>
    <w:rPr>
      <w:vertAlign w:val="superscript"/>
    </w:rPr>
  </w:style>
  <w:style w:type="paragraph" w:styleId="ListParagraph">
    <w:name w:val="List Paragraph"/>
    <w:basedOn w:val="Normal"/>
    <w:uiPriority w:val="34"/>
    <w:qFormat/>
    <w:rsid w:val="005F1478"/>
    <w:pPr>
      <w:ind w:left="720"/>
      <w:contextualSpacing/>
    </w:pPr>
  </w:style>
  <w:style w:type="character" w:styleId="Emphasis">
    <w:name w:val="Emphasis"/>
    <w:basedOn w:val="DefaultParagraphFont"/>
    <w:uiPriority w:val="20"/>
    <w:qFormat/>
    <w:rsid w:val="00D83DDF"/>
    <w:rPr>
      <w:i/>
      <w:iCs/>
    </w:rPr>
  </w:style>
  <w:style w:type="character" w:styleId="Hyperlink">
    <w:name w:val="Hyperlink"/>
    <w:basedOn w:val="DefaultParagraphFont"/>
    <w:uiPriority w:val="99"/>
    <w:semiHidden/>
    <w:unhideWhenUsed/>
    <w:rsid w:val="00451861"/>
    <w:rPr>
      <w:color w:val="0000FF"/>
      <w:u w:val="single"/>
    </w:rPr>
  </w:style>
  <w:style w:type="character" w:customStyle="1" w:styleId="apple-style-span">
    <w:name w:val="apple-style-span"/>
    <w:basedOn w:val="DefaultParagraphFont"/>
    <w:rsid w:val="00EF402D"/>
  </w:style>
  <w:style w:type="paragraph" w:styleId="Header">
    <w:name w:val="header"/>
    <w:basedOn w:val="Normal"/>
    <w:link w:val="HeaderChar"/>
    <w:uiPriority w:val="99"/>
    <w:unhideWhenUsed/>
    <w:rsid w:val="005059C2"/>
    <w:pPr>
      <w:tabs>
        <w:tab w:val="center" w:pos="4513"/>
        <w:tab w:val="right" w:pos="9026"/>
      </w:tabs>
    </w:pPr>
  </w:style>
  <w:style w:type="character" w:customStyle="1" w:styleId="HeaderChar">
    <w:name w:val="Header Char"/>
    <w:basedOn w:val="DefaultParagraphFont"/>
    <w:link w:val="Header"/>
    <w:uiPriority w:val="99"/>
    <w:rsid w:val="005059C2"/>
    <w:rPr>
      <w:rFonts w:eastAsia="Times New Roman"/>
      <w:sz w:val="24"/>
      <w:szCs w:val="24"/>
      <w:lang w:val="en-GB" w:eastAsia="en-GB"/>
    </w:rPr>
  </w:style>
  <w:style w:type="character" w:styleId="PageNumber">
    <w:name w:val="page number"/>
    <w:basedOn w:val="DefaultParagraphFont"/>
    <w:uiPriority w:val="99"/>
    <w:semiHidden/>
    <w:unhideWhenUsed/>
    <w:rsid w:val="005059C2"/>
  </w:style>
  <w:style w:type="character" w:customStyle="1" w:styleId="cosearchterm">
    <w:name w:val="co_searchterm"/>
    <w:basedOn w:val="DefaultParagraphFont"/>
    <w:rsid w:val="001F37A7"/>
  </w:style>
  <w:style w:type="paragraph" w:styleId="NormalWeb">
    <w:name w:val="Normal (Web)"/>
    <w:basedOn w:val="Normal"/>
    <w:uiPriority w:val="99"/>
    <w:unhideWhenUsed/>
    <w:rsid w:val="001500EA"/>
    <w:pPr>
      <w:spacing w:before="100" w:beforeAutospacing="1" w:after="100" w:afterAutospacing="1"/>
    </w:pPr>
  </w:style>
  <w:style w:type="character" w:styleId="FollowedHyperlink">
    <w:name w:val="FollowedHyperlink"/>
    <w:basedOn w:val="DefaultParagraphFont"/>
    <w:uiPriority w:val="99"/>
    <w:semiHidden/>
    <w:unhideWhenUsed/>
    <w:rsid w:val="001500EA"/>
    <w:rPr>
      <w:color w:val="954F72" w:themeColor="followedHyperlink"/>
      <w:u w:val="single"/>
    </w:rPr>
  </w:style>
  <w:style w:type="character" w:customStyle="1" w:styleId="sb8d990e2">
    <w:name w:val="sb8d990e2"/>
    <w:basedOn w:val="DefaultParagraphFont"/>
    <w:rsid w:val="00F06847"/>
  </w:style>
  <w:style w:type="paragraph" w:customStyle="1" w:styleId="Default">
    <w:name w:val="Default"/>
    <w:rsid w:val="00F02A4A"/>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9B2884"/>
    <w:rPr>
      <w:rFonts w:eastAsia="Times New Roman"/>
      <w:b/>
      <w:bCs/>
      <w:kern w:val="36"/>
      <w:sz w:val="48"/>
      <w:szCs w:val="48"/>
      <w:lang w:eastAsia="en-GB"/>
    </w:rPr>
  </w:style>
  <w:style w:type="paragraph" w:styleId="HTMLPreformatted">
    <w:name w:val="HTML Preformatted"/>
    <w:basedOn w:val="Normal"/>
    <w:link w:val="HTMLPreformattedChar"/>
    <w:uiPriority w:val="99"/>
    <w:semiHidden/>
    <w:unhideWhenUsed/>
    <w:rsid w:val="00C6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6559C"/>
    <w:rPr>
      <w:rFonts w:ascii="Courier New" w:eastAsia="Times New Roman" w:hAnsi="Courier New" w:cs="Courier New"/>
      <w:lang w:eastAsia="en-GB"/>
    </w:rPr>
  </w:style>
  <w:style w:type="character" w:customStyle="1" w:styleId="y2iqfc">
    <w:name w:val="y2iqfc"/>
    <w:basedOn w:val="DefaultParagraphFont"/>
    <w:rsid w:val="00C6559C"/>
  </w:style>
  <w:style w:type="character" w:customStyle="1" w:styleId="a-text-bold">
    <w:name w:val="a-text-bold"/>
    <w:basedOn w:val="DefaultParagraphFont"/>
    <w:rsid w:val="00C01109"/>
  </w:style>
  <w:style w:type="character" w:styleId="CommentReference">
    <w:name w:val="annotation reference"/>
    <w:basedOn w:val="DefaultParagraphFont"/>
    <w:uiPriority w:val="99"/>
    <w:semiHidden/>
    <w:unhideWhenUsed/>
    <w:rsid w:val="002102E1"/>
    <w:rPr>
      <w:sz w:val="16"/>
      <w:szCs w:val="16"/>
    </w:rPr>
  </w:style>
  <w:style w:type="paragraph" w:styleId="CommentText">
    <w:name w:val="annotation text"/>
    <w:basedOn w:val="Normal"/>
    <w:link w:val="CommentTextChar"/>
    <w:uiPriority w:val="99"/>
    <w:semiHidden/>
    <w:unhideWhenUsed/>
    <w:rsid w:val="002102E1"/>
    <w:rPr>
      <w:sz w:val="20"/>
      <w:szCs w:val="20"/>
    </w:rPr>
  </w:style>
  <w:style w:type="character" w:customStyle="1" w:styleId="CommentTextChar">
    <w:name w:val="Comment Text Char"/>
    <w:basedOn w:val="DefaultParagraphFont"/>
    <w:link w:val="CommentText"/>
    <w:uiPriority w:val="99"/>
    <w:semiHidden/>
    <w:rsid w:val="002102E1"/>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2102E1"/>
    <w:rPr>
      <w:b/>
      <w:bCs/>
    </w:rPr>
  </w:style>
  <w:style w:type="character" w:customStyle="1" w:styleId="CommentSubjectChar">
    <w:name w:val="Comment Subject Char"/>
    <w:basedOn w:val="CommentTextChar"/>
    <w:link w:val="CommentSubject"/>
    <w:uiPriority w:val="99"/>
    <w:semiHidden/>
    <w:rsid w:val="002102E1"/>
    <w:rPr>
      <w:rFonts w:eastAsia="Times New Roman"/>
      <w:b/>
      <w:bCs/>
      <w:lang w:eastAsia="en-GB"/>
    </w:rPr>
  </w:style>
  <w:style w:type="paragraph" w:styleId="BalloonText">
    <w:name w:val="Balloon Text"/>
    <w:basedOn w:val="Normal"/>
    <w:link w:val="BalloonTextChar"/>
    <w:uiPriority w:val="99"/>
    <w:semiHidden/>
    <w:unhideWhenUsed/>
    <w:rsid w:val="00210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2E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682">
      <w:bodyDiv w:val="1"/>
      <w:marLeft w:val="0"/>
      <w:marRight w:val="0"/>
      <w:marTop w:val="0"/>
      <w:marBottom w:val="0"/>
      <w:divBdr>
        <w:top w:val="none" w:sz="0" w:space="0" w:color="auto"/>
        <w:left w:val="none" w:sz="0" w:space="0" w:color="auto"/>
        <w:bottom w:val="none" w:sz="0" w:space="0" w:color="auto"/>
        <w:right w:val="none" w:sz="0" w:space="0" w:color="auto"/>
      </w:divBdr>
    </w:div>
    <w:div w:id="16080009">
      <w:bodyDiv w:val="1"/>
      <w:marLeft w:val="0"/>
      <w:marRight w:val="0"/>
      <w:marTop w:val="0"/>
      <w:marBottom w:val="0"/>
      <w:divBdr>
        <w:top w:val="none" w:sz="0" w:space="0" w:color="auto"/>
        <w:left w:val="none" w:sz="0" w:space="0" w:color="auto"/>
        <w:bottom w:val="none" w:sz="0" w:space="0" w:color="auto"/>
        <w:right w:val="none" w:sz="0" w:space="0" w:color="auto"/>
      </w:divBdr>
    </w:div>
    <w:div w:id="27032191">
      <w:bodyDiv w:val="1"/>
      <w:marLeft w:val="0"/>
      <w:marRight w:val="0"/>
      <w:marTop w:val="0"/>
      <w:marBottom w:val="0"/>
      <w:divBdr>
        <w:top w:val="none" w:sz="0" w:space="0" w:color="auto"/>
        <w:left w:val="none" w:sz="0" w:space="0" w:color="auto"/>
        <w:bottom w:val="none" w:sz="0" w:space="0" w:color="auto"/>
        <w:right w:val="none" w:sz="0" w:space="0" w:color="auto"/>
      </w:divBdr>
    </w:div>
    <w:div w:id="44303619">
      <w:bodyDiv w:val="1"/>
      <w:marLeft w:val="0"/>
      <w:marRight w:val="0"/>
      <w:marTop w:val="0"/>
      <w:marBottom w:val="0"/>
      <w:divBdr>
        <w:top w:val="none" w:sz="0" w:space="0" w:color="auto"/>
        <w:left w:val="none" w:sz="0" w:space="0" w:color="auto"/>
        <w:bottom w:val="none" w:sz="0" w:space="0" w:color="auto"/>
        <w:right w:val="none" w:sz="0" w:space="0" w:color="auto"/>
      </w:divBdr>
    </w:div>
    <w:div w:id="55517803">
      <w:bodyDiv w:val="1"/>
      <w:marLeft w:val="0"/>
      <w:marRight w:val="0"/>
      <w:marTop w:val="0"/>
      <w:marBottom w:val="0"/>
      <w:divBdr>
        <w:top w:val="none" w:sz="0" w:space="0" w:color="auto"/>
        <w:left w:val="none" w:sz="0" w:space="0" w:color="auto"/>
        <w:bottom w:val="none" w:sz="0" w:space="0" w:color="auto"/>
        <w:right w:val="none" w:sz="0" w:space="0" w:color="auto"/>
      </w:divBdr>
    </w:div>
    <w:div w:id="95710341">
      <w:bodyDiv w:val="1"/>
      <w:marLeft w:val="0"/>
      <w:marRight w:val="0"/>
      <w:marTop w:val="0"/>
      <w:marBottom w:val="0"/>
      <w:divBdr>
        <w:top w:val="none" w:sz="0" w:space="0" w:color="auto"/>
        <w:left w:val="none" w:sz="0" w:space="0" w:color="auto"/>
        <w:bottom w:val="none" w:sz="0" w:space="0" w:color="auto"/>
        <w:right w:val="none" w:sz="0" w:space="0" w:color="auto"/>
      </w:divBdr>
    </w:div>
    <w:div w:id="135996989">
      <w:bodyDiv w:val="1"/>
      <w:marLeft w:val="0"/>
      <w:marRight w:val="0"/>
      <w:marTop w:val="0"/>
      <w:marBottom w:val="0"/>
      <w:divBdr>
        <w:top w:val="none" w:sz="0" w:space="0" w:color="auto"/>
        <w:left w:val="none" w:sz="0" w:space="0" w:color="auto"/>
        <w:bottom w:val="none" w:sz="0" w:space="0" w:color="auto"/>
        <w:right w:val="none" w:sz="0" w:space="0" w:color="auto"/>
      </w:divBdr>
    </w:div>
    <w:div w:id="149031448">
      <w:bodyDiv w:val="1"/>
      <w:marLeft w:val="0"/>
      <w:marRight w:val="0"/>
      <w:marTop w:val="0"/>
      <w:marBottom w:val="0"/>
      <w:divBdr>
        <w:top w:val="none" w:sz="0" w:space="0" w:color="auto"/>
        <w:left w:val="none" w:sz="0" w:space="0" w:color="auto"/>
        <w:bottom w:val="none" w:sz="0" w:space="0" w:color="auto"/>
        <w:right w:val="none" w:sz="0" w:space="0" w:color="auto"/>
      </w:divBdr>
    </w:div>
    <w:div w:id="184096146">
      <w:bodyDiv w:val="1"/>
      <w:marLeft w:val="0"/>
      <w:marRight w:val="0"/>
      <w:marTop w:val="0"/>
      <w:marBottom w:val="0"/>
      <w:divBdr>
        <w:top w:val="none" w:sz="0" w:space="0" w:color="auto"/>
        <w:left w:val="none" w:sz="0" w:space="0" w:color="auto"/>
        <w:bottom w:val="none" w:sz="0" w:space="0" w:color="auto"/>
        <w:right w:val="none" w:sz="0" w:space="0" w:color="auto"/>
      </w:divBdr>
    </w:div>
    <w:div w:id="205223696">
      <w:bodyDiv w:val="1"/>
      <w:marLeft w:val="0"/>
      <w:marRight w:val="0"/>
      <w:marTop w:val="0"/>
      <w:marBottom w:val="0"/>
      <w:divBdr>
        <w:top w:val="none" w:sz="0" w:space="0" w:color="auto"/>
        <w:left w:val="none" w:sz="0" w:space="0" w:color="auto"/>
        <w:bottom w:val="none" w:sz="0" w:space="0" w:color="auto"/>
        <w:right w:val="none" w:sz="0" w:space="0" w:color="auto"/>
      </w:divBdr>
    </w:div>
    <w:div w:id="216862970">
      <w:bodyDiv w:val="1"/>
      <w:marLeft w:val="0"/>
      <w:marRight w:val="0"/>
      <w:marTop w:val="0"/>
      <w:marBottom w:val="0"/>
      <w:divBdr>
        <w:top w:val="none" w:sz="0" w:space="0" w:color="auto"/>
        <w:left w:val="none" w:sz="0" w:space="0" w:color="auto"/>
        <w:bottom w:val="none" w:sz="0" w:space="0" w:color="auto"/>
        <w:right w:val="none" w:sz="0" w:space="0" w:color="auto"/>
      </w:divBdr>
    </w:div>
    <w:div w:id="235865787">
      <w:bodyDiv w:val="1"/>
      <w:marLeft w:val="0"/>
      <w:marRight w:val="0"/>
      <w:marTop w:val="0"/>
      <w:marBottom w:val="0"/>
      <w:divBdr>
        <w:top w:val="none" w:sz="0" w:space="0" w:color="auto"/>
        <w:left w:val="none" w:sz="0" w:space="0" w:color="auto"/>
        <w:bottom w:val="none" w:sz="0" w:space="0" w:color="auto"/>
        <w:right w:val="none" w:sz="0" w:space="0" w:color="auto"/>
      </w:divBdr>
    </w:div>
    <w:div w:id="268314959">
      <w:bodyDiv w:val="1"/>
      <w:marLeft w:val="0"/>
      <w:marRight w:val="0"/>
      <w:marTop w:val="0"/>
      <w:marBottom w:val="0"/>
      <w:divBdr>
        <w:top w:val="none" w:sz="0" w:space="0" w:color="auto"/>
        <w:left w:val="none" w:sz="0" w:space="0" w:color="auto"/>
        <w:bottom w:val="none" w:sz="0" w:space="0" w:color="auto"/>
        <w:right w:val="none" w:sz="0" w:space="0" w:color="auto"/>
      </w:divBdr>
    </w:div>
    <w:div w:id="384643729">
      <w:bodyDiv w:val="1"/>
      <w:marLeft w:val="0"/>
      <w:marRight w:val="0"/>
      <w:marTop w:val="0"/>
      <w:marBottom w:val="0"/>
      <w:divBdr>
        <w:top w:val="none" w:sz="0" w:space="0" w:color="auto"/>
        <w:left w:val="none" w:sz="0" w:space="0" w:color="auto"/>
        <w:bottom w:val="none" w:sz="0" w:space="0" w:color="auto"/>
        <w:right w:val="none" w:sz="0" w:space="0" w:color="auto"/>
      </w:divBdr>
    </w:div>
    <w:div w:id="458378774">
      <w:bodyDiv w:val="1"/>
      <w:marLeft w:val="0"/>
      <w:marRight w:val="0"/>
      <w:marTop w:val="0"/>
      <w:marBottom w:val="0"/>
      <w:divBdr>
        <w:top w:val="none" w:sz="0" w:space="0" w:color="auto"/>
        <w:left w:val="none" w:sz="0" w:space="0" w:color="auto"/>
        <w:bottom w:val="none" w:sz="0" w:space="0" w:color="auto"/>
        <w:right w:val="none" w:sz="0" w:space="0" w:color="auto"/>
      </w:divBdr>
    </w:div>
    <w:div w:id="517045340">
      <w:bodyDiv w:val="1"/>
      <w:marLeft w:val="0"/>
      <w:marRight w:val="0"/>
      <w:marTop w:val="0"/>
      <w:marBottom w:val="0"/>
      <w:divBdr>
        <w:top w:val="none" w:sz="0" w:space="0" w:color="auto"/>
        <w:left w:val="none" w:sz="0" w:space="0" w:color="auto"/>
        <w:bottom w:val="none" w:sz="0" w:space="0" w:color="auto"/>
        <w:right w:val="none" w:sz="0" w:space="0" w:color="auto"/>
      </w:divBdr>
    </w:div>
    <w:div w:id="572010415">
      <w:bodyDiv w:val="1"/>
      <w:marLeft w:val="0"/>
      <w:marRight w:val="0"/>
      <w:marTop w:val="0"/>
      <w:marBottom w:val="0"/>
      <w:divBdr>
        <w:top w:val="none" w:sz="0" w:space="0" w:color="auto"/>
        <w:left w:val="none" w:sz="0" w:space="0" w:color="auto"/>
        <w:bottom w:val="none" w:sz="0" w:space="0" w:color="auto"/>
        <w:right w:val="none" w:sz="0" w:space="0" w:color="auto"/>
      </w:divBdr>
    </w:div>
    <w:div w:id="577448413">
      <w:bodyDiv w:val="1"/>
      <w:marLeft w:val="0"/>
      <w:marRight w:val="0"/>
      <w:marTop w:val="0"/>
      <w:marBottom w:val="0"/>
      <w:divBdr>
        <w:top w:val="none" w:sz="0" w:space="0" w:color="auto"/>
        <w:left w:val="none" w:sz="0" w:space="0" w:color="auto"/>
        <w:bottom w:val="none" w:sz="0" w:space="0" w:color="auto"/>
        <w:right w:val="none" w:sz="0" w:space="0" w:color="auto"/>
      </w:divBdr>
    </w:div>
    <w:div w:id="608051240">
      <w:bodyDiv w:val="1"/>
      <w:marLeft w:val="0"/>
      <w:marRight w:val="0"/>
      <w:marTop w:val="0"/>
      <w:marBottom w:val="0"/>
      <w:divBdr>
        <w:top w:val="none" w:sz="0" w:space="0" w:color="auto"/>
        <w:left w:val="none" w:sz="0" w:space="0" w:color="auto"/>
        <w:bottom w:val="none" w:sz="0" w:space="0" w:color="auto"/>
        <w:right w:val="none" w:sz="0" w:space="0" w:color="auto"/>
      </w:divBdr>
    </w:div>
    <w:div w:id="655687841">
      <w:bodyDiv w:val="1"/>
      <w:marLeft w:val="0"/>
      <w:marRight w:val="0"/>
      <w:marTop w:val="0"/>
      <w:marBottom w:val="0"/>
      <w:divBdr>
        <w:top w:val="none" w:sz="0" w:space="0" w:color="auto"/>
        <w:left w:val="none" w:sz="0" w:space="0" w:color="auto"/>
        <w:bottom w:val="none" w:sz="0" w:space="0" w:color="auto"/>
        <w:right w:val="none" w:sz="0" w:space="0" w:color="auto"/>
      </w:divBdr>
    </w:div>
    <w:div w:id="695697257">
      <w:bodyDiv w:val="1"/>
      <w:marLeft w:val="0"/>
      <w:marRight w:val="0"/>
      <w:marTop w:val="0"/>
      <w:marBottom w:val="0"/>
      <w:divBdr>
        <w:top w:val="none" w:sz="0" w:space="0" w:color="auto"/>
        <w:left w:val="none" w:sz="0" w:space="0" w:color="auto"/>
        <w:bottom w:val="none" w:sz="0" w:space="0" w:color="auto"/>
        <w:right w:val="none" w:sz="0" w:space="0" w:color="auto"/>
      </w:divBdr>
    </w:div>
    <w:div w:id="758137448">
      <w:bodyDiv w:val="1"/>
      <w:marLeft w:val="0"/>
      <w:marRight w:val="0"/>
      <w:marTop w:val="0"/>
      <w:marBottom w:val="0"/>
      <w:divBdr>
        <w:top w:val="none" w:sz="0" w:space="0" w:color="auto"/>
        <w:left w:val="none" w:sz="0" w:space="0" w:color="auto"/>
        <w:bottom w:val="none" w:sz="0" w:space="0" w:color="auto"/>
        <w:right w:val="none" w:sz="0" w:space="0" w:color="auto"/>
      </w:divBdr>
    </w:div>
    <w:div w:id="764575201">
      <w:bodyDiv w:val="1"/>
      <w:marLeft w:val="0"/>
      <w:marRight w:val="0"/>
      <w:marTop w:val="0"/>
      <w:marBottom w:val="0"/>
      <w:divBdr>
        <w:top w:val="none" w:sz="0" w:space="0" w:color="auto"/>
        <w:left w:val="none" w:sz="0" w:space="0" w:color="auto"/>
        <w:bottom w:val="none" w:sz="0" w:space="0" w:color="auto"/>
        <w:right w:val="none" w:sz="0" w:space="0" w:color="auto"/>
      </w:divBdr>
    </w:div>
    <w:div w:id="772629350">
      <w:bodyDiv w:val="1"/>
      <w:marLeft w:val="0"/>
      <w:marRight w:val="0"/>
      <w:marTop w:val="0"/>
      <w:marBottom w:val="0"/>
      <w:divBdr>
        <w:top w:val="none" w:sz="0" w:space="0" w:color="auto"/>
        <w:left w:val="none" w:sz="0" w:space="0" w:color="auto"/>
        <w:bottom w:val="none" w:sz="0" w:space="0" w:color="auto"/>
        <w:right w:val="none" w:sz="0" w:space="0" w:color="auto"/>
      </w:divBdr>
    </w:div>
    <w:div w:id="776371007">
      <w:bodyDiv w:val="1"/>
      <w:marLeft w:val="0"/>
      <w:marRight w:val="0"/>
      <w:marTop w:val="0"/>
      <w:marBottom w:val="0"/>
      <w:divBdr>
        <w:top w:val="none" w:sz="0" w:space="0" w:color="auto"/>
        <w:left w:val="none" w:sz="0" w:space="0" w:color="auto"/>
        <w:bottom w:val="none" w:sz="0" w:space="0" w:color="auto"/>
        <w:right w:val="none" w:sz="0" w:space="0" w:color="auto"/>
      </w:divBdr>
    </w:div>
    <w:div w:id="792947486">
      <w:bodyDiv w:val="1"/>
      <w:marLeft w:val="0"/>
      <w:marRight w:val="0"/>
      <w:marTop w:val="0"/>
      <w:marBottom w:val="0"/>
      <w:divBdr>
        <w:top w:val="none" w:sz="0" w:space="0" w:color="auto"/>
        <w:left w:val="none" w:sz="0" w:space="0" w:color="auto"/>
        <w:bottom w:val="none" w:sz="0" w:space="0" w:color="auto"/>
        <w:right w:val="none" w:sz="0" w:space="0" w:color="auto"/>
      </w:divBdr>
    </w:div>
    <w:div w:id="828135934">
      <w:bodyDiv w:val="1"/>
      <w:marLeft w:val="0"/>
      <w:marRight w:val="0"/>
      <w:marTop w:val="0"/>
      <w:marBottom w:val="0"/>
      <w:divBdr>
        <w:top w:val="none" w:sz="0" w:space="0" w:color="auto"/>
        <w:left w:val="none" w:sz="0" w:space="0" w:color="auto"/>
        <w:bottom w:val="none" w:sz="0" w:space="0" w:color="auto"/>
        <w:right w:val="none" w:sz="0" w:space="0" w:color="auto"/>
      </w:divBdr>
    </w:div>
    <w:div w:id="853498093">
      <w:bodyDiv w:val="1"/>
      <w:marLeft w:val="0"/>
      <w:marRight w:val="0"/>
      <w:marTop w:val="0"/>
      <w:marBottom w:val="0"/>
      <w:divBdr>
        <w:top w:val="none" w:sz="0" w:space="0" w:color="auto"/>
        <w:left w:val="none" w:sz="0" w:space="0" w:color="auto"/>
        <w:bottom w:val="none" w:sz="0" w:space="0" w:color="auto"/>
        <w:right w:val="none" w:sz="0" w:space="0" w:color="auto"/>
      </w:divBdr>
    </w:div>
    <w:div w:id="908616564">
      <w:bodyDiv w:val="1"/>
      <w:marLeft w:val="0"/>
      <w:marRight w:val="0"/>
      <w:marTop w:val="0"/>
      <w:marBottom w:val="0"/>
      <w:divBdr>
        <w:top w:val="none" w:sz="0" w:space="0" w:color="auto"/>
        <w:left w:val="none" w:sz="0" w:space="0" w:color="auto"/>
        <w:bottom w:val="none" w:sz="0" w:space="0" w:color="auto"/>
        <w:right w:val="none" w:sz="0" w:space="0" w:color="auto"/>
      </w:divBdr>
    </w:div>
    <w:div w:id="915239825">
      <w:bodyDiv w:val="1"/>
      <w:marLeft w:val="0"/>
      <w:marRight w:val="0"/>
      <w:marTop w:val="0"/>
      <w:marBottom w:val="0"/>
      <w:divBdr>
        <w:top w:val="none" w:sz="0" w:space="0" w:color="auto"/>
        <w:left w:val="none" w:sz="0" w:space="0" w:color="auto"/>
        <w:bottom w:val="none" w:sz="0" w:space="0" w:color="auto"/>
        <w:right w:val="none" w:sz="0" w:space="0" w:color="auto"/>
      </w:divBdr>
    </w:div>
    <w:div w:id="951861123">
      <w:bodyDiv w:val="1"/>
      <w:marLeft w:val="0"/>
      <w:marRight w:val="0"/>
      <w:marTop w:val="0"/>
      <w:marBottom w:val="0"/>
      <w:divBdr>
        <w:top w:val="none" w:sz="0" w:space="0" w:color="auto"/>
        <w:left w:val="none" w:sz="0" w:space="0" w:color="auto"/>
        <w:bottom w:val="none" w:sz="0" w:space="0" w:color="auto"/>
        <w:right w:val="none" w:sz="0" w:space="0" w:color="auto"/>
      </w:divBdr>
    </w:div>
    <w:div w:id="1042829084">
      <w:bodyDiv w:val="1"/>
      <w:marLeft w:val="0"/>
      <w:marRight w:val="0"/>
      <w:marTop w:val="0"/>
      <w:marBottom w:val="0"/>
      <w:divBdr>
        <w:top w:val="none" w:sz="0" w:space="0" w:color="auto"/>
        <w:left w:val="none" w:sz="0" w:space="0" w:color="auto"/>
        <w:bottom w:val="none" w:sz="0" w:space="0" w:color="auto"/>
        <w:right w:val="none" w:sz="0" w:space="0" w:color="auto"/>
      </w:divBdr>
    </w:div>
    <w:div w:id="1052845054">
      <w:bodyDiv w:val="1"/>
      <w:marLeft w:val="0"/>
      <w:marRight w:val="0"/>
      <w:marTop w:val="0"/>
      <w:marBottom w:val="0"/>
      <w:divBdr>
        <w:top w:val="none" w:sz="0" w:space="0" w:color="auto"/>
        <w:left w:val="none" w:sz="0" w:space="0" w:color="auto"/>
        <w:bottom w:val="none" w:sz="0" w:space="0" w:color="auto"/>
        <w:right w:val="none" w:sz="0" w:space="0" w:color="auto"/>
      </w:divBdr>
    </w:div>
    <w:div w:id="1124620581">
      <w:bodyDiv w:val="1"/>
      <w:marLeft w:val="0"/>
      <w:marRight w:val="0"/>
      <w:marTop w:val="0"/>
      <w:marBottom w:val="0"/>
      <w:divBdr>
        <w:top w:val="none" w:sz="0" w:space="0" w:color="auto"/>
        <w:left w:val="none" w:sz="0" w:space="0" w:color="auto"/>
        <w:bottom w:val="none" w:sz="0" w:space="0" w:color="auto"/>
        <w:right w:val="none" w:sz="0" w:space="0" w:color="auto"/>
      </w:divBdr>
    </w:div>
    <w:div w:id="1234389928">
      <w:bodyDiv w:val="1"/>
      <w:marLeft w:val="0"/>
      <w:marRight w:val="0"/>
      <w:marTop w:val="0"/>
      <w:marBottom w:val="0"/>
      <w:divBdr>
        <w:top w:val="none" w:sz="0" w:space="0" w:color="auto"/>
        <w:left w:val="none" w:sz="0" w:space="0" w:color="auto"/>
        <w:bottom w:val="none" w:sz="0" w:space="0" w:color="auto"/>
        <w:right w:val="none" w:sz="0" w:space="0" w:color="auto"/>
      </w:divBdr>
    </w:div>
    <w:div w:id="1261140295">
      <w:bodyDiv w:val="1"/>
      <w:marLeft w:val="0"/>
      <w:marRight w:val="0"/>
      <w:marTop w:val="0"/>
      <w:marBottom w:val="0"/>
      <w:divBdr>
        <w:top w:val="none" w:sz="0" w:space="0" w:color="auto"/>
        <w:left w:val="none" w:sz="0" w:space="0" w:color="auto"/>
        <w:bottom w:val="none" w:sz="0" w:space="0" w:color="auto"/>
        <w:right w:val="none" w:sz="0" w:space="0" w:color="auto"/>
      </w:divBdr>
    </w:div>
    <w:div w:id="1315135500">
      <w:bodyDiv w:val="1"/>
      <w:marLeft w:val="0"/>
      <w:marRight w:val="0"/>
      <w:marTop w:val="0"/>
      <w:marBottom w:val="0"/>
      <w:divBdr>
        <w:top w:val="none" w:sz="0" w:space="0" w:color="auto"/>
        <w:left w:val="none" w:sz="0" w:space="0" w:color="auto"/>
        <w:bottom w:val="none" w:sz="0" w:space="0" w:color="auto"/>
        <w:right w:val="none" w:sz="0" w:space="0" w:color="auto"/>
      </w:divBdr>
    </w:div>
    <w:div w:id="1359234436">
      <w:bodyDiv w:val="1"/>
      <w:marLeft w:val="0"/>
      <w:marRight w:val="0"/>
      <w:marTop w:val="0"/>
      <w:marBottom w:val="0"/>
      <w:divBdr>
        <w:top w:val="none" w:sz="0" w:space="0" w:color="auto"/>
        <w:left w:val="none" w:sz="0" w:space="0" w:color="auto"/>
        <w:bottom w:val="none" w:sz="0" w:space="0" w:color="auto"/>
        <w:right w:val="none" w:sz="0" w:space="0" w:color="auto"/>
      </w:divBdr>
      <w:divsChild>
        <w:div w:id="898903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274004">
      <w:bodyDiv w:val="1"/>
      <w:marLeft w:val="0"/>
      <w:marRight w:val="0"/>
      <w:marTop w:val="0"/>
      <w:marBottom w:val="0"/>
      <w:divBdr>
        <w:top w:val="none" w:sz="0" w:space="0" w:color="auto"/>
        <w:left w:val="none" w:sz="0" w:space="0" w:color="auto"/>
        <w:bottom w:val="none" w:sz="0" w:space="0" w:color="auto"/>
        <w:right w:val="none" w:sz="0" w:space="0" w:color="auto"/>
      </w:divBdr>
    </w:div>
    <w:div w:id="1391685093">
      <w:bodyDiv w:val="1"/>
      <w:marLeft w:val="0"/>
      <w:marRight w:val="0"/>
      <w:marTop w:val="0"/>
      <w:marBottom w:val="0"/>
      <w:divBdr>
        <w:top w:val="none" w:sz="0" w:space="0" w:color="auto"/>
        <w:left w:val="none" w:sz="0" w:space="0" w:color="auto"/>
        <w:bottom w:val="none" w:sz="0" w:space="0" w:color="auto"/>
        <w:right w:val="none" w:sz="0" w:space="0" w:color="auto"/>
      </w:divBdr>
    </w:div>
    <w:div w:id="1494300960">
      <w:bodyDiv w:val="1"/>
      <w:marLeft w:val="0"/>
      <w:marRight w:val="0"/>
      <w:marTop w:val="0"/>
      <w:marBottom w:val="0"/>
      <w:divBdr>
        <w:top w:val="none" w:sz="0" w:space="0" w:color="auto"/>
        <w:left w:val="none" w:sz="0" w:space="0" w:color="auto"/>
        <w:bottom w:val="none" w:sz="0" w:space="0" w:color="auto"/>
        <w:right w:val="none" w:sz="0" w:space="0" w:color="auto"/>
      </w:divBdr>
    </w:div>
    <w:div w:id="1495493672">
      <w:bodyDiv w:val="1"/>
      <w:marLeft w:val="0"/>
      <w:marRight w:val="0"/>
      <w:marTop w:val="0"/>
      <w:marBottom w:val="0"/>
      <w:divBdr>
        <w:top w:val="none" w:sz="0" w:space="0" w:color="auto"/>
        <w:left w:val="none" w:sz="0" w:space="0" w:color="auto"/>
        <w:bottom w:val="none" w:sz="0" w:space="0" w:color="auto"/>
        <w:right w:val="none" w:sz="0" w:space="0" w:color="auto"/>
      </w:divBdr>
    </w:div>
    <w:div w:id="1528637102">
      <w:bodyDiv w:val="1"/>
      <w:marLeft w:val="0"/>
      <w:marRight w:val="0"/>
      <w:marTop w:val="0"/>
      <w:marBottom w:val="0"/>
      <w:divBdr>
        <w:top w:val="none" w:sz="0" w:space="0" w:color="auto"/>
        <w:left w:val="none" w:sz="0" w:space="0" w:color="auto"/>
        <w:bottom w:val="none" w:sz="0" w:space="0" w:color="auto"/>
        <w:right w:val="none" w:sz="0" w:space="0" w:color="auto"/>
      </w:divBdr>
    </w:div>
    <w:div w:id="1532451786">
      <w:bodyDiv w:val="1"/>
      <w:marLeft w:val="0"/>
      <w:marRight w:val="0"/>
      <w:marTop w:val="0"/>
      <w:marBottom w:val="0"/>
      <w:divBdr>
        <w:top w:val="none" w:sz="0" w:space="0" w:color="auto"/>
        <w:left w:val="none" w:sz="0" w:space="0" w:color="auto"/>
        <w:bottom w:val="none" w:sz="0" w:space="0" w:color="auto"/>
        <w:right w:val="none" w:sz="0" w:space="0" w:color="auto"/>
      </w:divBdr>
    </w:div>
    <w:div w:id="1544099666">
      <w:bodyDiv w:val="1"/>
      <w:marLeft w:val="0"/>
      <w:marRight w:val="0"/>
      <w:marTop w:val="0"/>
      <w:marBottom w:val="0"/>
      <w:divBdr>
        <w:top w:val="none" w:sz="0" w:space="0" w:color="auto"/>
        <w:left w:val="none" w:sz="0" w:space="0" w:color="auto"/>
        <w:bottom w:val="none" w:sz="0" w:space="0" w:color="auto"/>
        <w:right w:val="none" w:sz="0" w:space="0" w:color="auto"/>
      </w:divBdr>
    </w:div>
    <w:div w:id="1596129664">
      <w:bodyDiv w:val="1"/>
      <w:marLeft w:val="0"/>
      <w:marRight w:val="0"/>
      <w:marTop w:val="0"/>
      <w:marBottom w:val="0"/>
      <w:divBdr>
        <w:top w:val="none" w:sz="0" w:space="0" w:color="auto"/>
        <w:left w:val="none" w:sz="0" w:space="0" w:color="auto"/>
        <w:bottom w:val="none" w:sz="0" w:space="0" w:color="auto"/>
        <w:right w:val="none" w:sz="0" w:space="0" w:color="auto"/>
      </w:divBdr>
    </w:div>
    <w:div w:id="1630548454">
      <w:bodyDiv w:val="1"/>
      <w:marLeft w:val="0"/>
      <w:marRight w:val="0"/>
      <w:marTop w:val="0"/>
      <w:marBottom w:val="0"/>
      <w:divBdr>
        <w:top w:val="none" w:sz="0" w:space="0" w:color="auto"/>
        <w:left w:val="none" w:sz="0" w:space="0" w:color="auto"/>
        <w:bottom w:val="none" w:sz="0" w:space="0" w:color="auto"/>
        <w:right w:val="none" w:sz="0" w:space="0" w:color="auto"/>
      </w:divBdr>
    </w:div>
    <w:div w:id="1683778811">
      <w:bodyDiv w:val="1"/>
      <w:marLeft w:val="0"/>
      <w:marRight w:val="0"/>
      <w:marTop w:val="0"/>
      <w:marBottom w:val="0"/>
      <w:divBdr>
        <w:top w:val="none" w:sz="0" w:space="0" w:color="auto"/>
        <w:left w:val="none" w:sz="0" w:space="0" w:color="auto"/>
        <w:bottom w:val="none" w:sz="0" w:space="0" w:color="auto"/>
        <w:right w:val="none" w:sz="0" w:space="0" w:color="auto"/>
      </w:divBdr>
    </w:div>
    <w:div w:id="1757479234">
      <w:bodyDiv w:val="1"/>
      <w:marLeft w:val="0"/>
      <w:marRight w:val="0"/>
      <w:marTop w:val="0"/>
      <w:marBottom w:val="0"/>
      <w:divBdr>
        <w:top w:val="none" w:sz="0" w:space="0" w:color="auto"/>
        <w:left w:val="none" w:sz="0" w:space="0" w:color="auto"/>
        <w:bottom w:val="none" w:sz="0" w:space="0" w:color="auto"/>
        <w:right w:val="none" w:sz="0" w:space="0" w:color="auto"/>
      </w:divBdr>
    </w:div>
    <w:div w:id="1777093583">
      <w:bodyDiv w:val="1"/>
      <w:marLeft w:val="0"/>
      <w:marRight w:val="0"/>
      <w:marTop w:val="0"/>
      <w:marBottom w:val="0"/>
      <w:divBdr>
        <w:top w:val="none" w:sz="0" w:space="0" w:color="auto"/>
        <w:left w:val="none" w:sz="0" w:space="0" w:color="auto"/>
        <w:bottom w:val="none" w:sz="0" w:space="0" w:color="auto"/>
        <w:right w:val="none" w:sz="0" w:space="0" w:color="auto"/>
      </w:divBdr>
    </w:div>
    <w:div w:id="1801652543">
      <w:bodyDiv w:val="1"/>
      <w:marLeft w:val="0"/>
      <w:marRight w:val="0"/>
      <w:marTop w:val="0"/>
      <w:marBottom w:val="0"/>
      <w:divBdr>
        <w:top w:val="none" w:sz="0" w:space="0" w:color="auto"/>
        <w:left w:val="none" w:sz="0" w:space="0" w:color="auto"/>
        <w:bottom w:val="none" w:sz="0" w:space="0" w:color="auto"/>
        <w:right w:val="none" w:sz="0" w:space="0" w:color="auto"/>
      </w:divBdr>
    </w:div>
    <w:div w:id="1874608569">
      <w:bodyDiv w:val="1"/>
      <w:marLeft w:val="0"/>
      <w:marRight w:val="0"/>
      <w:marTop w:val="0"/>
      <w:marBottom w:val="0"/>
      <w:divBdr>
        <w:top w:val="none" w:sz="0" w:space="0" w:color="auto"/>
        <w:left w:val="none" w:sz="0" w:space="0" w:color="auto"/>
        <w:bottom w:val="none" w:sz="0" w:space="0" w:color="auto"/>
        <w:right w:val="none" w:sz="0" w:space="0" w:color="auto"/>
      </w:divBdr>
    </w:div>
    <w:div w:id="1913543220">
      <w:bodyDiv w:val="1"/>
      <w:marLeft w:val="0"/>
      <w:marRight w:val="0"/>
      <w:marTop w:val="0"/>
      <w:marBottom w:val="0"/>
      <w:divBdr>
        <w:top w:val="none" w:sz="0" w:space="0" w:color="auto"/>
        <w:left w:val="none" w:sz="0" w:space="0" w:color="auto"/>
        <w:bottom w:val="none" w:sz="0" w:space="0" w:color="auto"/>
        <w:right w:val="none" w:sz="0" w:space="0" w:color="auto"/>
      </w:divBdr>
    </w:div>
    <w:div w:id="1977176717">
      <w:bodyDiv w:val="1"/>
      <w:marLeft w:val="0"/>
      <w:marRight w:val="0"/>
      <w:marTop w:val="0"/>
      <w:marBottom w:val="0"/>
      <w:divBdr>
        <w:top w:val="none" w:sz="0" w:space="0" w:color="auto"/>
        <w:left w:val="none" w:sz="0" w:space="0" w:color="auto"/>
        <w:bottom w:val="none" w:sz="0" w:space="0" w:color="auto"/>
        <w:right w:val="none" w:sz="0" w:space="0" w:color="auto"/>
      </w:divBdr>
    </w:div>
    <w:div w:id="1981029674">
      <w:bodyDiv w:val="1"/>
      <w:marLeft w:val="0"/>
      <w:marRight w:val="0"/>
      <w:marTop w:val="0"/>
      <w:marBottom w:val="0"/>
      <w:divBdr>
        <w:top w:val="none" w:sz="0" w:space="0" w:color="auto"/>
        <w:left w:val="none" w:sz="0" w:space="0" w:color="auto"/>
        <w:bottom w:val="none" w:sz="0" w:space="0" w:color="auto"/>
        <w:right w:val="none" w:sz="0" w:space="0" w:color="auto"/>
      </w:divBdr>
    </w:div>
    <w:div w:id="1991136740">
      <w:bodyDiv w:val="1"/>
      <w:marLeft w:val="0"/>
      <w:marRight w:val="0"/>
      <w:marTop w:val="0"/>
      <w:marBottom w:val="0"/>
      <w:divBdr>
        <w:top w:val="none" w:sz="0" w:space="0" w:color="auto"/>
        <w:left w:val="none" w:sz="0" w:space="0" w:color="auto"/>
        <w:bottom w:val="none" w:sz="0" w:space="0" w:color="auto"/>
        <w:right w:val="none" w:sz="0" w:space="0" w:color="auto"/>
      </w:divBdr>
    </w:div>
    <w:div w:id="1996376571">
      <w:bodyDiv w:val="1"/>
      <w:marLeft w:val="0"/>
      <w:marRight w:val="0"/>
      <w:marTop w:val="0"/>
      <w:marBottom w:val="0"/>
      <w:divBdr>
        <w:top w:val="none" w:sz="0" w:space="0" w:color="auto"/>
        <w:left w:val="none" w:sz="0" w:space="0" w:color="auto"/>
        <w:bottom w:val="none" w:sz="0" w:space="0" w:color="auto"/>
        <w:right w:val="none" w:sz="0" w:space="0" w:color="auto"/>
      </w:divBdr>
    </w:div>
    <w:div w:id="2005551267">
      <w:bodyDiv w:val="1"/>
      <w:marLeft w:val="0"/>
      <w:marRight w:val="0"/>
      <w:marTop w:val="0"/>
      <w:marBottom w:val="0"/>
      <w:divBdr>
        <w:top w:val="none" w:sz="0" w:space="0" w:color="auto"/>
        <w:left w:val="none" w:sz="0" w:space="0" w:color="auto"/>
        <w:bottom w:val="none" w:sz="0" w:space="0" w:color="auto"/>
        <w:right w:val="none" w:sz="0" w:space="0" w:color="auto"/>
      </w:divBdr>
    </w:div>
    <w:div w:id="2044397725">
      <w:bodyDiv w:val="1"/>
      <w:marLeft w:val="0"/>
      <w:marRight w:val="0"/>
      <w:marTop w:val="0"/>
      <w:marBottom w:val="0"/>
      <w:divBdr>
        <w:top w:val="none" w:sz="0" w:space="0" w:color="auto"/>
        <w:left w:val="none" w:sz="0" w:space="0" w:color="auto"/>
        <w:bottom w:val="none" w:sz="0" w:space="0" w:color="auto"/>
        <w:right w:val="none" w:sz="0" w:space="0" w:color="auto"/>
      </w:divBdr>
    </w:div>
    <w:div w:id="2047678411">
      <w:bodyDiv w:val="1"/>
      <w:marLeft w:val="0"/>
      <w:marRight w:val="0"/>
      <w:marTop w:val="0"/>
      <w:marBottom w:val="0"/>
      <w:divBdr>
        <w:top w:val="none" w:sz="0" w:space="0" w:color="auto"/>
        <w:left w:val="none" w:sz="0" w:space="0" w:color="auto"/>
        <w:bottom w:val="none" w:sz="0" w:space="0" w:color="auto"/>
        <w:right w:val="none" w:sz="0" w:space="0" w:color="auto"/>
      </w:divBdr>
    </w:div>
    <w:div w:id="2051685755">
      <w:bodyDiv w:val="1"/>
      <w:marLeft w:val="0"/>
      <w:marRight w:val="0"/>
      <w:marTop w:val="0"/>
      <w:marBottom w:val="0"/>
      <w:divBdr>
        <w:top w:val="none" w:sz="0" w:space="0" w:color="auto"/>
        <w:left w:val="none" w:sz="0" w:space="0" w:color="auto"/>
        <w:bottom w:val="none" w:sz="0" w:space="0" w:color="auto"/>
        <w:right w:val="none" w:sz="0" w:space="0" w:color="auto"/>
      </w:divBdr>
    </w:div>
    <w:div w:id="2063629942">
      <w:bodyDiv w:val="1"/>
      <w:marLeft w:val="0"/>
      <w:marRight w:val="0"/>
      <w:marTop w:val="0"/>
      <w:marBottom w:val="0"/>
      <w:divBdr>
        <w:top w:val="none" w:sz="0" w:space="0" w:color="auto"/>
        <w:left w:val="none" w:sz="0" w:space="0" w:color="auto"/>
        <w:bottom w:val="none" w:sz="0" w:space="0" w:color="auto"/>
        <w:right w:val="none" w:sz="0" w:space="0" w:color="auto"/>
      </w:divBdr>
    </w:div>
    <w:div w:id="2064088424">
      <w:bodyDiv w:val="1"/>
      <w:marLeft w:val="0"/>
      <w:marRight w:val="0"/>
      <w:marTop w:val="0"/>
      <w:marBottom w:val="0"/>
      <w:divBdr>
        <w:top w:val="none" w:sz="0" w:space="0" w:color="auto"/>
        <w:left w:val="none" w:sz="0" w:space="0" w:color="auto"/>
        <w:bottom w:val="none" w:sz="0" w:space="0" w:color="auto"/>
        <w:right w:val="none" w:sz="0" w:space="0" w:color="auto"/>
      </w:divBdr>
    </w:div>
    <w:div w:id="2071416106">
      <w:bodyDiv w:val="1"/>
      <w:marLeft w:val="0"/>
      <w:marRight w:val="0"/>
      <w:marTop w:val="0"/>
      <w:marBottom w:val="0"/>
      <w:divBdr>
        <w:top w:val="none" w:sz="0" w:space="0" w:color="auto"/>
        <w:left w:val="none" w:sz="0" w:space="0" w:color="auto"/>
        <w:bottom w:val="none" w:sz="0" w:space="0" w:color="auto"/>
        <w:right w:val="none" w:sz="0" w:space="0" w:color="auto"/>
      </w:divBdr>
    </w:div>
    <w:div w:id="213189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24</Pages>
  <Words>8168</Words>
  <Characters>46559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Besirevic</dc:creator>
  <cp:keywords/>
  <dc:description/>
  <cp:lastModifiedBy>Violeta Besirevic</cp:lastModifiedBy>
  <cp:revision>27</cp:revision>
  <cp:lastPrinted>2021-06-26T11:53:00Z</cp:lastPrinted>
  <dcterms:created xsi:type="dcterms:W3CDTF">2021-06-29T13:56:00Z</dcterms:created>
  <dcterms:modified xsi:type="dcterms:W3CDTF">2021-07-27T06:51:00Z</dcterms:modified>
  <cp:category/>
</cp:coreProperties>
</file>